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1285"/>
        <w:spacing w:before="240" w:after="24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项目名称：扬州市市政设施管理中心城南、江运、金湾快速路隧道土建机电运维服务</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项目编号：JSZC-321000-JZCG-G2026-00</w:t>
      </w:r>
      <w:r>
        <w:rPr>
          <w:rFonts w:hint="eastAsia" w:ascii="宋体" w:hAnsi="宋体" w:cs="宋体"/>
          <w:b/>
          <w:color w:val="000000"/>
          <w:sz w:val="32"/>
          <w:lang w:val="en-US" w:eastAsia="zh-CN"/>
        </w:rPr>
        <w:t xml:space="preserve">56</w:t>
      </w: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tabs>
          <w:tab w:val="left" w:pos="5803"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tab/>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b/>
          <w:color w:val="000000"/>
          <w:sz w:val="32"/>
          <w:u w:val="single"/>
        </w:rPr>
        <w:t xml:space="preserve">2026</w:t>
      </w:r>
      <w:r>
        <w:rPr>
          <w:rFonts w:ascii="宋体" w:hAnsi="宋体" w:cs="宋体"/>
          <w:b/>
          <w:color w:val="000000"/>
          <w:sz w:val="32"/>
        </w:rPr>
        <w:t xml:space="preserve">年</w:t>
      </w:r>
      <w:r>
        <w:rPr>
          <w:rFonts w:ascii="宋体" w:hAnsi="宋体" w:cs="宋体"/>
          <w:b/>
          <w:color w:val="000000"/>
          <w:sz w:val="32"/>
          <w:u w:val="single"/>
        </w:rPr>
        <w:t xml:space="preserve">0</w:t>
      </w:r>
      <w:r>
        <w:rPr>
          <w:rFonts w:hint="eastAsia" w:ascii="宋体" w:hAnsi="宋体" w:cs="宋体"/>
          <w:b/>
          <w:color w:val="000000"/>
          <w:sz w:val="32"/>
          <w:u w:val="single"/>
          <w:lang w:val="en-US" w:eastAsia="zh-CN"/>
        </w:rPr>
        <w:t xml:space="preserve">5</w:t>
      </w:r>
      <w:r>
        <w:rPr>
          <w:rFonts w:ascii="宋体" w:hAnsi="宋体" w:cs="宋体"/>
          <w:b/>
          <w:color w:val="000000"/>
          <w:sz w:val="32"/>
        </w:rPr>
        <w:t xml:space="preserve">月</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投标邀请……………………………………2</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投标人须知…………………………………6</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采购需求……………………………………19</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评标方法与评标标准………………………95</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 100</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eastAsia="Times New Roman"/>
          <w:color w:val="000000"/>
        </w:rPr>
        <w:t xml:space="preserve"> </w:t>
      </w:r>
      <w:r>
        <w:tab/>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707"/>
        <w:rPr>
          <w:rFonts w:hint="eastAsia"/>
        </w:rPr>
      </w:pPr>
      <w:r>
        <w:rPr>
          <w:rStyle w:val="922"/>
          <w:rFonts w:ascii="黑体" w:hAnsi="黑体" w:cs="黑体"/>
        </w:rPr>
        <w:t xml:space="preserve">第一章 投标邀请</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受[扬州市市政设施管理中心]的委托，扬州市公共资源交易中心就[扬州市市政设施管理中心城南、江运、金湾快速路隧道土建机电运维服务]( JSZC-321000-JZCG-G2026-00</w:t>
      </w:r>
      <w:r>
        <w:rPr>
          <w:rFonts w:hint="eastAsia" w:ascii="宋体" w:hAnsi="宋体" w:cs="宋体"/>
          <w:color w:val="000000"/>
          <w:sz w:val="24"/>
          <w:lang w:val="en-US" w:eastAsia="zh-CN"/>
        </w:rPr>
        <w:t xml:space="preserve">56</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rPr>
          <w:sz w:val="24"/>
          <w:szCs w:val="24"/>
        </w:rPr>
        <w:pBdr>
          <w:top w:val="single" w:color="000000" w:sz="4" w:space="0"/>
          <w:left w:val="single" w:color="000000" w:sz="4" w:space="0"/>
          <w:bottom w:val="single" w:color="000000" w:sz="4" w:space="0"/>
          <w:right w:val="single" w:color="000000" w:sz="4" w:space="0"/>
        </w:pBdr>
      </w:pPr>
      <w:r>
        <w:rPr>
          <w:rFonts w:ascii="宋体" w:hAnsi="宋体" w:cs="宋体"/>
          <w:color w:val="000000"/>
          <w:sz w:val="24"/>
          <w:szCs w:val="24"/>
          <w:u w:val="single"/>
        </w:rPr>
        <w:t xml:space="preserve">（</w:t>
      </w:r>
      <w:r>
        <w:rPr>
          <w:rFonts w:ascii="Segoe UI" w:hAnsi="Segoe UI" w:cs="Segoe UI"/>
          <w:sz w:val="24"/>
          <w:szCs w:val="24"/>
          <w:shd w:val="clear" w:color="auto" w:fill="ffffff"/>
        </w:rPr>
        <w:t xml:space="preserve">扬州市市政设施管理中心城南、江运、金湾快速路隧道土建机电运维服务</w:t>
      </w:r>
      <w:r>
        <w:rPr>
          <w:rFonts w:ascii="宋体" w:hAnsi="宋体" w:cs="宋体"/>
          <w:color w:val="000000"/>
          <w:sz w:val="24"/>
          <w:szCs w:val="24"/>
          <w:u w:val="single"/>
        </w:rPr>
        <w:t xml:space="preserve">）</w:t>
      </w:r>
      <w:r>
        <w:rPr>
          <w:rFonts w:ascii="宋体" w:hAnsi="宋体" w:cs="宋体"/>
          <w:color w:val="000000"/>
          <w:sz w:val="24"/>
          <w:szCs w:val="24"/>
        </w:rPr>
        <w:t xml:space="preserve">招标项目的潜在投标人可在</w:t>
      </w:r>
      <w:r>
        <w:rPr>
          <w:rFonts w:ascii="宋体" w:hAnsi="宋体" w:cs="宋体"/>
          <w:color w:val="000000"/>
          <w:sz w:val="24"/>
          <w:szCs w:val="24"/>
          <w:u w:val="single"/>
        </w:rPr>
        <w:t xml:space="preserve">“江苏政府采购网”“扬州市政府采购网”</w:t>
      </w:r>
      <w:r>
        <w:rPr>
          <w:rFonts w:ascii="宋体" w:hAnsi="宋体" w:cs="宋体"/>
          <w:color w:val="000000"/>
          <w:sz w:val="24"/>
          <w:szCs w:val="24"/>
        </w:rPr>
        <w:t xml:space="preserve">自行免费下载招标文件，并于</w:t>
      </w:r>
      <w:r>
        <w:rPr>
          <w:rFonts w:ascii="宋体" w:hAnsi="宋体" w:cs="宋体"/>
          <w:color w:val="000000" w:themeColor="text1"/>
          <w:sz w:val="24"/>
          <w:szCs w:val="24"/>
          <w:u w:val="single"/>
          <w14:textFill>
            <w14:solidFill>
              <w14:schemeClr w14:val="tx1"/>
            </w14:solidFill>
          </w14:textFill>
        </w:rPr>
        <w:t xml:space="preserve">2026年</w:t>
      </w:r>
      <w:r>
        <w:rPr>
          <w:rFonts w:hint="eastAsia" w:ascii="宋体" w:hAnsi="宋体" w:cs="宋体"/>
          <w:color w:val="000000" w:themeColor="text1"/>
          <w:sz w:val="24"/>
          <w:szCs w:val="24"/>
          <w:u w:val="single"/>
          <w:lang w:val="en-US" w:eastAsia="zh-CN"/>
          <w14:textFill>
            <w14:solidFill>
              <w14:schemeClr w14:val="tx1"/>
            </w14:solidFill>
          </w14:textFill>
        </w:rPr>
        <w:t xml:space="preserve">06</w:t>
      </w:r>
      <w:r>
        <w:rPr>
          <w:rFonts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17</w:t>
      </w:r>
      <w:r>
        <w:rPr>
          <w:rFonts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color w:val="000000" w:themeColor="text1"/>
          <w:sz w:val="24"/>
          <w:szCs w:val="24"/>
          <w:u w:val="single"/>
          <w:lang w:val="en-US" w:eastAsia="zh-CN"/>
          <w14:textFill>
            <w14:solidFill>
              <w14:schemeClr w14:val="tx1"/>
            </w14:solidFill>
          </w14:textFill>
        </w:rPr>
        <w:t xml:space="preserve">0</w:t>
      </w:r>
      <w:r>
        <w:rPr>
          <w:rFonts w:ascii="宋体" w:hAnsi="宋体" w:cs="宋体"/>
          <w:color w:val="000000" w:themeColor="text1"/>
          <w:sz w:val="24"/>
          <w:szCs w:val="24"/>
          <w:u w:val="single"/>
          <w14:textFill>
            <w14:solidFill>
              <w14:schemeClr w14:val="tx1"/>
            </w14:solidFill>
          </w14:textFill>
        </w:rPr>
        <w:t xml:space="preserve">9点30分</w:t>
      </w:r>
      <w:r>
        <w:rPr>
          <w:rFonts w:ascii="宋体" w:hAnsi="宋体" w:cs="宋体"/>
          <w:color w:val="000000"/>
          <w:sz w:val="24"/>
          <w:szCs w:val="24"/>
          <w:u w:val="single"/>
        </w:rPr>
        <w:t xml:space="preserve">（</w:t>
      </w:r>
      <w:r>
        <w:rPr>
          <w:rFonts w:ascii="宋体" w:hAnsi="宋体" w:cs="宋体"/>
          <w:color w:val="000000"/>
          <w:sz w:val="24"/>
          <w:szCs w:val="24"/>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rPr>
          <w:rFonts w:hint="default" w:eastAsia="宋体"/>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1.项目编号：JSZC-321000-JZCG-G2026-00</w:t>
      </w:r>
      <w:r>
        <w:rPr>
          <w:rFonts w:hint="eastAsia" w:ascii="宋体" w:hAnsi="宋体" w:cs="宋体"/>
          <w:color w:val="000000"/>
          <w:sz w:val="24"/>
          <w:szCs w:val="24"/>
          <w:lang w:val="en-US" w:eastAsia="zh-CN"/>
        </w:rPr>
        <w:t xml:space="preserve">56</w:t>
      </w:r>
      <w:bookmarkStart w:id="2" w:name="_GoBack"/>
      <w:r/>
      <w:bookmarkEnd w:id="2"/>
      <w:r/>
      <w:r/>
    </w:p>
    <w:p>
      <w:pPr>
        <w:ind w:firstLine="480"/>
        <w:spacing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2.项目名称：</w:t>
      </w:r>
      <w:r>
        <w:rPr>
          <w:rFonts w:ascii="Segoe UI" w:hAnsi="Segoe UI" w:cs="Segoe UI"/>
          <w:sz w:val="24"/>
          <w:szCs w:val="24"/>
          <w:shd w:val="clear" w:color="auto" w:fill="ffffff"/>
        </w:rPr>
        <w:t xml:space="preserve">扬州市市政设施管理中心城南、江运、金湾快速路隧道土建机电运维服务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3.预算金额：</w:t>
      </w:r>
      <w:r/>
    </w:p>
    <w:tbl>
      <w:tblPr>
        <w:tblStyle w:val="761"/>
        <w:tblW w:w="733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8"/>
        <w:gridCol w:w="50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8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0"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3,977.8503</w:t>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761"/>
        <w:tblW w:w="86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3827"/>
        <w:gridCol w:w="29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2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2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3,977.8503</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5.采购需求（简介）：</w:t>
      </w:r>
      <w:r>
        <w:rPr>
          <w:rFonts w:hint="eastAsia" w:ascii="宋体" w:hAnsi="宋体"/>
          <w:sz w:val="24"/>
          <w:szCs w:val="24"/>
        </w:rPr>
        <w:t xml:space="preserve">本项目</w:t>
      </w:r>
      <w:r>
        <w:rPr>
          <w:rFonts w:ascii="宋体" w:hAnsi="宋体"/>
          <w:sz w:val="24"/>
          <w:szCs w:val="24"/>
        </w:rPr>
        <w:t xml:space="preserve">范围为</w:t>
      </w:r>
      <w:r>
        <w:rPr>
          <w:rFonts w:hint="eastAsia" w:ascii="宋体" w:hAnsi="宋体"/>
          <w:sz w:val="24"/>
          <w:szCs w:val="24"/>
        </w:rPr>
        <w:t xml:space="preserve">运河快速路的运河路隧道、文昌中路隧道、万福西路隧道；位于江平快速路的平山隧道、雷塘路隧道、相别路隧道及人行通道；位于金湾快速路上的龙城路隧道、韩许河路</w:t>
      </w:r>
      <w:r>
        <w:rPr>
          <w:rFonts w:ascii="宋体" w:hAnsi="宋体"/>
          <w:sz w:val="24"/>
          <w:szCs w:val="24"/>
        </w:rPr>
        <w:t xml:space="preserve">隧道</w:t>
      </w:r>
      <w:r>
        <w:rPr>
          <w:rFonts w:hint="eastAsia" w:ascii="宋体" w:hAnsi="宋体"/>
          <w:sz w:val="24"/>
          <w:szCs w:val="24"/>
        </w:rPr>
        <w:t xml:space="preserve">、文昌东路</w:t>
      </w:r>
      <w:r>
        <w:rPr>
          <w:rFonts w:ascii="宋体" w:hAnsi="宋体"/>
          <w:sz w:val="24"/>
          <w:szCs w:val="24"/>
        </w:rPr>
        <w:t xml:space="preserve">隧道</w:t>
      </w:r>
      <w:r>
        <w:rPr>
          <w:rFonts w:hint="eastAsia" w:ascii="宋体" w:hAnsi="宋体"/>
          <w:sz w:val="24"/>
          <w:szCs w:val="24"/>
        </w:rPr>
        <w:t xml:space="preserve">；位于</w:t>
      </w:r>
      <w:r>
        <w:rPr>
          <w:rFonts w:ascii="宋体" w:hAnsi="宋体"/>
          <w:sz w:val="24"/>
          <w:szCs w:val="24"/>
        </w:rPr>
        <w:t xml:space="preserve">城南快速路的</w:t>
      </w:r>
      <w:r>
        <w:rPr>
          <w:rFonts w:hint="eastAsia" w:ascii="宋体" w:hAnsi="宋体"/>
          <w:sz w:val="24"/>
          <w:szCs w:val="24"/>
        </w:rPr>
        <w:t xml:space="preserve">邗江路隧道、扬子江路隧道、荷花池隧道、渡江南路隧道、开发路隧道；位于经四路的经四路隧道；运河路隧道管养基地以及各隧道其他附属设施等。土建结构运维包括：隧道主体及附属设施、管养基地的各类土建结构、装修、排水设施</w:t>
      </w:r>
      <w:r>
        <w:rPr>
          <w:rFonts w:hint="eastAsia" w:ascii="宋体" w:hAnsi="宋体"/>
          <w:sz w:val="24"/>
          <w:szCs w:val="24"/>
          <w:lang w:eastAsia="zh-CN"/>
        </w:rPr>
        <w:t xml:space="preserve">、</w:t>
      </w:r>
      <w:r>
        <w:rPr>
          <w:rFonts w:hint="eastAsia" w:ascii="宋体" w:hAnsi="宋体"/>
          <w:sz w:val="24"/>
          <w:szCs w:val="24"/>
        </w:rPr>
        <w:t xml:space="preserve">电缆沟、设备洞室、洞口限高门架、隧道铭牌的</w:t>
      </w:r>
      <w:r>
        <w:rPr>
          <w:rFonts w:ascii="宋体" w:hAnsi="宋体"/>
          <w:sz w:val="24"/>
          <w:szCs w:val="24"/>
        </w:rPr>
        <w:t xml:space="preserve">日常巡查、清洁</w:t>
      </w:r>
      <w:r>
        <w:rPr>
          <w:rFonts w:hint="eastAsia" w:ascii="宋体" w:hAnsi="宋体"/>
          <w:sz w:val="24"/>
          <w:szCs w:val="24"/>
          <w:lang w:eastAsia="zh-CN"/>
        </w:rPr>
        <w:t xml:space="preserve">（</w:t>
      </w:r>
      <w:r>
        <w:rPr>
          <w:rFonts w:hint="eastAsia" w:ascii="宋体" w:hAnsi="宋体"/>
          <w:sz w:val="24"/>
          <w:szCs w:val="24"/>
        </w:rPr>
        <w:t xml:space="preserve">隧道路面，相别路隧道人通侧墙及路面、自动扶梯及外装饰的日常保洁不包含在内</w:t>
      </w:r>
      <w:r>
        <w:rPr>
          <w:rFonts w:hint="eastAsia" w:ascii="宋体" w:hAnsi="宋体"/>
          <w:sz w:val="24"/>
          <w:szCs w:val="24"/>
          <w:lang w:eastAsia="zh-CN"/>
        </w:rPr>
        <w:t xml:space="preserve">）</w:t>
      </w:r>
      <w:r>
        <w:rPr>
          <w:rFonts w:ascii="宋体" w:hAnsi="宋体"/>
          <w:sz w:val="24"/>
          <w:szCs w:val="24"/>
        </w:rPr>
        <w:t xml:space="preserve">、结构检查、保养维修和病害处治等内容。</w:t>
      </w:r>
      <w:r>
        <w:rPr>
          <w:rFonts w:hint="eastAsia" w:ascii="宋体" w:hAnsi="宋体"/>
          <w:sz w:val="24"/>
          <w:szCs w:val="24"/>
        </w:rPr>
        <w:t xml:space="preserve">机电设施运维包括：供配电系统、照明系统、通风空调系统、给排水消防系统</w:t>
      </w:r>
      <w:r>
        <w:rPr>
          <w:rFonts w:hint="eastAsia" w:ascii="宋体" w:hAnsi="宋体"/>
          <w:sz w:val="24"/>
          <w:szCs w:val="24"/>
          <w:lang w:eastAsia="zh-CN"/>
        </w:rPr>
        <w:t xml:space="preserve">、</w:t>
      </w:r>
      <w:r>
        <w:rPr>
          <w:rFonts w:hint="eastAsia" w:ascii="宋体" w:hAnsi="宋体"/>
          <w:sz w:val="24"/>
          <w:szCs w:val="24"/>
        </w:rPr>
        <w:t xml:space="preserve">隧道彩屏、电气火灾管理系统、供配电管理系统等设备及线路的</w:t>
      </w:r>
      <w:r>
        <w:rPr>
          <w:rFonts w:ascii="宋体" w:hAnsi="宋体"/>
          <w:sz w:val="24"/>
          <w:szCs w:val="24"/>
        </w:rPr>
        <w:t xml:space="preserve">日常巡查、清洁维护、机电检修、专项工程等内容</w:t>
      </w:r>
      <w:r>
        <w:rPr>
          <w:rFonts w:hint="eastAsia" w:ascii="宋体" w:hAnsi="宋体"/>
          <w:sz w:val="24"/>
          <w:szCs w:val="24"/>
        </w:rPr>
        <w:t xml:space="preserve">。</w:t>
      </w:r>
      <w:r>
        <w:rPr>
          <w:rFonts w:hint="eastAsia" w:ascii="宋体" w:hAnsi="宋体"/>
          <w:sz w:val="24"/>
          <w:szCs w:val="24"/>
          <w:lang w:eastAsia="zh-CN"/>
        </w:rPr>
        <w:t xml:space="preserve">运维工作</w:t>
      </w:r>
      <w:r>
        <w:rPr>
          <w:rFonts w:hint="eastAsia" w:ascii="宋体" w:hAnsi="宋体"/>
          <w:color w:val="auto"/>
          <w:sz w:val="24"/>
          <w:szCs w:val="24"/>
          <w:highlight w:val="none"/>
        </w:rPr>
        <w:t xml:space="preserve">包括但不限于资产看护及保全、保养维修（含采购人工程运维车辆）、结构检查、病害处治、卫生保洁、巡查、值班值守、运维范围内所有设施设备的检查检测、维护封道、各项应急处置、冬防、防汛、第三方监管、合同过渡期等维持项目资产完整、正常及安全运营所需的总体工作。</w:t>
      </w:r>
      <w:r>
        <w:rPr>
          <w:rFonts w:hint="eastAsia" w:ascii="宋体" w:hAnsi="宋体"/>
          <w:sz w:val="24"/>
          <w:szCs w:val="24"/>
        </w:rPr>
        <w:t xml:space="preserve">另行结算的不包含在合同总价的部分详见项目需求。</w:t>
      </w:r>
      <w:r>
        <w:rPr>
          <w:rFonts w:ascii="宋体" w:hAnsi="宋体" w:cs="宋体"/>
          <w:color w:val="000000"/>
          <w:sz w:val="24"/>
        </w:rPr>
        <w:t xml:space="preserve">（详细内容见本招标文件第四章）</w:t>
      </w:r>
      <w:r/>
    </w:p>
    <w:p>
      <w:pPr>
        <w:ind w:firstLine="480"/>
        <w:spacing w:line="40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sz w:val="24"/>
          <w:szCs w:val="24"/>
        </w:rPr>
        <w:t xml:space="preserve">本项目服务期限为合同签订之日起三年，投标按3年期报价。本项目合同首签一年，在当年考核合格的情况下，采购人和中标人签订下一年合同。第一年合同签订金额为总报价/3年。</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w:t>
      </w:r>
      <w:r>
        <w:rPr>
          <w:rFonts w:hint="eastAsia" w:ascii="宋体" w:hAnsi="宋体" w:cs="宋体"/>
          <w:color w:val="000000"/>
          <w:sz w:val="24"/>
          <w:lang w:val="en-US" w:eastAsia="zh-CN"/>
        </w:rPr>
        <w:t xml:space="preserve">上一</w:t>
      </w:r>
      <w:r>
        <w:rPr>
          <w:rFonts w:ascii="宋体" w:hAnsi="宋体" w:cs="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761"/>
        <w:tblW w:w="821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3744"/>
        <w:gridCol w:w="34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4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0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761"/>
        <w:tblW w:w="849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7365"/>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6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tbl>
      <w:tblPr>
        <w:tblStyle w:val="761"/>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77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8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b/>
                <w:bCs/>
                <w:i/>
                <w:iCs/>
                <w:sz w:val="24"/>
                <w:szCs w:val="24"/>
                <w:u w:val="single"/>
              </w:rPr>
              <w:t xml:space="preserve">2023年1月1日至今，投标人承担过2项与本项目类似业绩，业绩服务内容须包含隧道土建结构运维、机电设施运维、安全及应急管理等。业绩证明材料包含：业绩证明单位开具的业绩评价（须含证明单位联系人、联系方式）并加盖证明单位公章；业绩合同及服务期内任意一次合同费用银行结算凭证。（上述业绩证明材料须同时提供且能反映出业绩服务内容，若无法反映业绩服务内容视为无效，原件扫描上传）</w:t>
            </w:r>
            <w:r/>
          </w:p>
        </w:tc>
      </w:tr>
    </w:tbl>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 </w:t>
      </w:r>
      <w:r>
        <w:rPr>
          <w:rFonts w:ascii="宋体" w:hAnsi="宋体" w:cs="宋体"/>
          <w:color w:val="000000" w:themeColor="text1"/>
          <w:sz w:val="24"/>
          <w:u w:val="single"/>
          <w14:textFill>
            <w14:solidFill>
              <w14:schemeClr w14:val="tx1"/>
            </w14:solidFill>
          </w14:textFill>
        </w:rPr>
        <w:t xml:space="preserve">202</w:t>
      </w:r>
      <w:r>
        <w:rPr>
          <w:rFonts w:hint="eastAsia" w:ascii="宋体" w:hAnsi="宋体" w:cs="宋体"/>
          <w:color w:val="000000" w:themeColor="text1"/>
          <w:sz w:val="24"/>
          <w:u w:val="single"/>
          <w:lang w:val="en-US" w:eastAsia="zh-CN"/>
          <w14:textFill>
            <w14:solidFill>
              <w14:schemeClr w14:val="tx1"/>
            </w14:solidFill>
          </w14:textFill>
        </w:rPr>
        <w:t xml:space="preserve">6</w:t>
      </w:r>
      <w:r>
        <w:rPr>
          <w:rFonts w:ascii="宋体" w:hAnsi="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06</w:t>
      </w:r>
      <w:r>
        <w:rPr>
          <w:rFonts w:ascii="宋体" w:hAnsi="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17</w:t>
      </w:r>
      <w:r>
        <w:rPr>
          <w:rFonts w:ascii="宋体" w:hAnsi="宋体" w:cs="宋体"/>
          <w:color w:val="000000" w:themeColor="text1"/>
          <w:sz w:val="24"/>
          <w:u w:val="single"/>
          <w14:textFill>
            <w14:solidFill>
              <w14:schemeClr w14:val="tx1"/>
            </w14:solidFill>
          </w14:textFill>
        </w:rPr>
        <w:t xml:space="preserve">日 </w:t>
      </w:r>
      <w:r>
        <w:rPr>
          <w:rFonts w:hint="eastAsia" w:ascii="宋体" w:hAnsi="宋体" w:cs="宋体"/>
          <w:color w:val="000000" w:themeColor="text1"/>
          <w:sz w:val="24"/>
          <w:u w:val="single"/>
          <w:lang w:val="en-US" w:eastAsia="zh-CN"/>
          <w14:textFill>
            <w14:solidFill>
              <w14:schemeClr w14:val="tx1"/>
            </w14:solidFill>
          </w14:textFill>
        </w:rPr>
        <w:t xml:space="preserve">09</w:t>
      </w:r>
      <w:r>
        <w:rPr>
          <w:rFonts w:ascii="宋体" w:hAnsi="宋体" w:cs="宋体"/>
          <w:color w:val="000000" w:themeColor="text1"/>
          <w:sz w:val="24"/>
          <w:u w:val="single"/>
          <w14:textFill>
            <w14:solidFill>
              <w14:schemeClr w14:val="tx1"/>
            </w14:solidFill>
          </w14:textFill>
        </w:rPr>
        <w:t xml:space="preserve">点</w:t>
      </w:r>
      <w:r>
        <w:rPr>
          <w:rFonts w:hint="eastAsia" w:ascii="宋体" w:hAnsi="宋体" w:cs="宋体"/>
          <w:color w:val="000000" w:themeColor="text1"/>
          <w:sz w:val="24"/>
          <w:u w:val="single"/>
          <w:lang w:val="en-US" w:eastAsia="zh-CN"/>
          <w14:textFill>
            <w14:solidFill>
              <w14:schemeClr w14:val="tx1"/>
            </w14:solidFill>
          </w14:textFill>
        </w:rPr>
        <w:t xml:space="preserve">30</w:t>
      </w:r>
      <w:r>
        <w:rPr>
          <w:rFonts w:ascii="宋体" w:hAnsi="宋体" w:cs="宋体"/>
          <w:color w:val="000000" w:themeColor="text1"/>
          <w:sz w:val="24"/>
          <w:u w:val="single"/>
          <w14:textFill>
            <w14:solidFill>
              <w14:schemeClr w14:val="tx1"/>
            </w14:solidFill>
          </w14:textFill>
        </w:rPr>
        <w:t xml:space="preserve"> 分</w:t>
      </w:r>
      <w:r>
        <w:rPr>
          <w:rFonts w:ascii="宋体" w:hAnsi="宋体" w:cs="宋体"/>
          <w:color w:val="000000"/>
          <w:sz w:val="24"/>
        </w:rPr>
        <w:t xml:space="preserve">（北京时间）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1.采购人信息</w:t>
      </w:r>
      <w:r/>
    </w:p>
    <w:p>
      <w:pPr>
        <w:ind w:left="70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名 称：扬州市市政设施管理中心</w:t>
      </w:r>
      <w:r/>
    </w:p>
    <w:p>
      <w:pPr>
        <w:ind w:left="709"/>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地 址：</w:t>
      </w:r>
      <w:r>
        <w:rPr>
          <w:rFonts w:hint="eastAsia" w:ascii="宋体" w:hAnsi="宋体" w:cs="宋体"/>
          <w:color w:val="000000"/>
          <w:sz w:val="24"/>
        </w:rPr>
        <w:t xml:space="preserve">扬州市瘦西湖路145号</w:t>
      </w:r>
      <w:r/>
    </w:p>
    <w:p>
      <w:pPr>
        <w:ind w:left="709"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联系人：王燕平</w:t>
      </w:r>
      <w:r/>
    </w:p>
    <w:p>
      <w:pPr>
        <w:ind w:left="709"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联系方式：0514-87116312</w:t>
      </w:r>
      <w:r/>
    </w:p>
    <w:p>
      <w:pPr>
        <w:ind w:left="70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2.扬州市公共资源交易中心</w:t>
      </w:r>
      <w:r/>
    </w:p>
    <w:p>
      <w:pPr>
        <w:ind w:firstLine="106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址：扬州市文昌东路9号广陵新城市民中心1号楼5楼</w:t>
      </w:r>
      <w:r>
        <w:rPr>
          <w:rFonts w:ascii="宋体" w:hAnsi="宋体" w:cs="宋体"/>
          <w:color w:val="000000"/>
          <w:sz w:val="24"/>
        </w:rPr>
        <w:t xml:space="preserve">1527室</w:t>
      </w:r>
      <w:r/>
    </w:p>
    <w:p>
      <w:pPr>
        <w:ind w:firstLine="1060"/>
        <w:spacing w:line="40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w:t>
      </w:r>
      <w:r>
        <w:rPr>
          <w:rFonts w:hint="eastAsia" w:ascii="宋体" w:hAnsi="宋体" w:cs="宋体"/>
          <w:color w:val="000000"/>
          <w:sz w:val="24"/>
          <w:lang w:val="en-US" w:eastAsia="zh-CN"/>
        </w:rPr>
        <w:t xml:space="preserve">华玲</w:t>
      </w:r>
      <w:r/>
    </w:p>
    <w:p>
      <w:pPr>
        <w:ind w:firstLine="106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w:t>
      </w:r>
      <w:r>
        <w:rPr>
          <w:rFonts w:ascii="宋体" w:hAnsi="宋体" w:cs="宋体"/>
          <w:color w:val="000000"/>
          <w:sz w:val="24"/>
        </w:rPr>
        <w:t xml:space="preserve">0514-82087120</w:t>
      </w:r>
      <w:r/>
    </w:p>
    <w:p>
      <w:pPr>
        <w:ind w:left="709"/>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right="840"/>
        <w:pBdr>
          <w:top w:val="none" w:color="000000" w:sz="0" w:space="0"/>
          <w:left w:val="none" w:color="000000" w:sz="0" w:space="0"/>
          <w:bottom w:val="none" w:color="000000" w:sz="0" w:space="0"/>
          <w:right w:val="none" w:color="000000" w:sz="0" w:space="0"/>
        </w:pBdr>
      </w:pPr>
      <w:r>
        <w:br w:type="page" w:clear="all"/>
      </w:r>
      <w:r/>
    </w:p>
    <w:p>
      <w:pPr>
        <w:pStyle w:val="707"/>
        <w:spacing w:before="480" w:after="200"/>
        <w:rPr>
          <w:rFonts w:hint="eastAsia"/>
        </w:rPr>
        <w:pBdr>
          <w:top w:val="none" w:color="000000" w:sz="0" w:space="0"/>
          <w:left w:val="none" w:color="000000" w:sz="0" w:space="0"/>
          <w:bottom w:val="none" w:color="000000" w:sz="0" w:space="0"/>
          <w:right w:val="none" w:color="000000" w:sz="0" w:space="0"/>
        </w:pBdr>
      </w:pPr>
      <w:r>
        <w:rPr>
          <w:rFonts w:ascii="黑体" w:hAnsi="黑体" w:cs="黑体"/>
          <w:b/>
          <w:color w:val="000000"/>
        </w:rPr>
        <w:t xml:space="preserve">第二章 投标人须知</w:t>
      </w:r>
      <w:r/>
    </w:p>
    <w:p>
      <w:pPr>
        <w:ind w:firstLine="498"/>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ind w:firstLine="321"/>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exac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在投标截止时间前，交易中心可以对招标文件进行修改。</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 招标文件的修改将在江苏政府采购网、扬州市政府采购网公布，补充文件将作为招标文件的组成部分，并对投标人具有约束力。</w:t>
      </w:r>
      <w:r/>
    </w:p>
    <w:p>
      <w:pPr>
        <w:ind w:firstLine="482"/>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exac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除技术性能另有规定外，投标文件所使用的度量衡单位，均须采用国家法定计量单位。</w:t>
      </w:r>
      <w:r/>
    </w:p>
    <w:p>
      <w:pPr>
        <w:ind w:firstLine="420"/>
        <w:spacing w:line="400" w:lineRule="exac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投标人编写的投标文件应包括基本目录、资格审查内容、符合性审查内容、价格扣除证明文件等部分。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 投标人应按照招标文件要求提交证明文件，证明其投标标的符合招标文件规定。</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投标人按照招标文件规定格式填报投标分项报价表。</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投标人需对招标文件中的技术要求与商务要求逐项作出响应或偏离，并说明原因。</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投标人需按照招标文件要求，在投标文件中提供与技术要求和商务要求相关的证明材料。</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投标人应按照招标文件中提供的格式完整、正确填写投标函、开标一览表。</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投标人应当按照《操作手册》规定，在投标截止时间前制作并上传电子投标文件。</w:t>
      </w:r>
      <w:r/>
    </w:p>
    <w:p>
      <w:pPr>
        <w:ind w:firstLine="420"/>
        <w:spacing w:before="240" w:after="240"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投标人上传电子投标文件的时间不得迟于招标公告中规定的投标截止时间。</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exac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 投标人撤回电子投标文件，则认为其不再参与本项目投标活动。</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 在投标截止时间之后，投标人不得对其电子投标文件作任何修改。</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 在投标截止时间至招标文件中规定的投标有效期满之间的这段时间内，投标人不得撤回其投标。</w:t>
      </w:r>
      <w:r/>
    </w:p>
    <w:p>
      <w:pPr>
        <w:ind w:firstLine="482"/>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 交易中心和评委会不向未中标的投标人解释未中标原因，也不公布评标过程中的相关细节。</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 采用综合评分法的项目，未中标的投标人可于中标结果公告期限届满之日起通过苏采云系统查看自己的评审得分及排序情况。</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 异常低价投标（响应）</w:t>
      </w:r>
      <w:r/>
    </w:p>
    <w:p>
      <w:pPr>
        <w:ind w:firstLine="480"/>
        <w:spacing w:line="400" w:lineRule="exac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25.1.10.1</w:t>
      </w:r>
      <w:r>
        <w:rPr>
          <w:rFonts w:ascii="宋体" w:hAnsi="宋体" w:cs="宋体"/>
          <w:color w:val="383838"/>
          <w:sz w:val="24"/>
          <w:highlight w:val="white"/>
        </w:rPr>
        <w:t xml:space="preserve">投标（响应）报价低于全部通过符合性审查供应商投标（响应）报价平均值</w:t>
      </w:r>
      <w:r>
        <w:rPr>
          <w:rFonts w:hint="eastAsia" w:ascii="宋体" w:hAnsi="宋体" w:cs="宋体"/>
          <w:color w:val="383838"/>
          <w:sz w:val="24"/>
          <w:highlight w:val="white"/>
          <w:lang w:val="en-US" w:eastAsia="zh-CN"/>
        </w:rPr>
        <w:t xml:space="preserve">65</w:t>
      </w:r>
      <w:r>
        <w:rPr>
          <w:rFonts w:ascii="宋体" w:hAnsi="宋体" w:cs="宋体"/>
          <w:color w:val="383838"/>
          <w:sz w:val="24"/>
          <w:highlight w:val="white"/>
        </w:rPr>
        <w:t xml:space="preserve">%的，即投标（响应）报价&lt;全部通过符合性审查供应商投标（响应）报价平均值×</w:t>
      </w:r>
      <w:r>
        <w:rPr>
          <w:rFonts w:hint="eastAsia" w:ascii="宋体" w:hAnsi="宋体" w:cs="宋体"/>
          <w:color w:val="383838"/>
          <w:sz w:val="24"/>
          <w:highlight w:val="white"/>
          <w:lang w:val="en-US" w:eastAsia="zh-CN"/>
        </w:rPr>
        <w:t xml:space="preserve">65</w:t>
      </w:r>
      <w:r>
        <w:rPr>
          <w:rFonts w:ascii="宋体" w:hAnsi="宋体" w:cs="宋体"/>
          <w:color w:val="383838"/>
          <w:sz w:val="24"/>
          <w:highlight w:val="white"/>
        </w:rPr>
        <w:t xml:space="preserve">%；</w:t>
      </w:r>
      <w:r/>
    </w:p>
    <w:p>
      <w:pPr>
        <w:ind w:firstLine="480"/>
        <w:spacing w:line="400" w:lineRule="exac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25.1.10.2</w:t>
      </w:r>
      <w:r>
        <w:rPr>
          <w:rFonts w:ascii="宋体" w:hAnsi="宋体" w:cs="宋体"/>
          <w:color w:val="383838"/>
          <w:sz w:val="24"/>
          <w:highlight w:val="white"/>
        </w:rPr>
        <w:t xml:space="preserve">投标（响应）报价低于通过符合性审查的次低报价供应商投标（响应）报价</w:t>
      </w:r>
      <w:r>
        <w:rPr>
          <w:rFonts w:hint="eastAsia" w:ascii="宋体" w:hAnsi="宋体" w:cs="宋体"/>
          <w:color w:val="383838"/>
          <w:sz w:val="24"/>
          <w:highlight w:val="white"/>
          <w:lang w:val="en-US" w:eastAsia="zh-CN"/>
        </w:rPr>
        <w:t xml:space="preserve">65</w:t>
      </w:r>
      <w:r>
        <w:rPr>
          <w:rFonts w:ascii="宋体" w:hAnsi="宋体" w:cs="宋体"/>
          <w:color w:val="383838"/>
          <w:sz w:val="24"/>
          <w:highlight w:val="white"/>
        </w:rPr>
        <w:t xml:space="preserve">%的，即投标（响应）报价&lt;通过符合性审查的次低报价供应商投标（响应）报价×</w:t>
      </w:r>
      <w:r>
        <w:rPr>
          <w:rFonts w:hint="eastAsia" w:ascii="宋体" w:hAnsi="宋体" w:cs="宋体"/>
          <w:color w:val="383838"/>
          <w:sz w:val="24"/>
          <w:highlight w:val="white"/>
          <w:lang w:val="en-US" w:eastAsia="zh-CN"/>
        </w:rPr>
        <w:t xml:space="preserve">65</w:t>
      </w:r>
      <w:r>
        <w:rPr>
          <w:rFonts w:ascii="宋体" w:hAnsi="宋体" w:cs="宋体"/>
          <w:color w:val="383838"/>
          <w:sz w:val="24"/>
          <w:highlight w:val="white"/>
        </w:rPr>
        <w:t xml:space="preserve">%；</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25.1.10.3投标（响应）报价低于采购项目最高限价 </w:t>
      </w:r>
      <w:r>
        <w:rPr>
          <w:rFonts w:hint="eastAsia" w:ascii="宋体" w:hAnsi="宋体" w:cs="宋体"/>
          <w:color w:val="000000"/>
          <w:sz w:val="24"/>
          <w:highlight w:val="yellow"/>
          <w:lang w:val="en-US" w:eastAsia="zh-CN"/>
        </w:rPr>
        <w:t xml:space="preserve">65</w:t>
      </w:r>
      <w:r>
        <w:rPr>
          <w:rFonts w:ascii="宋体" w:hAnsi="宋体" w:cs="宋体"/>
          <w:color w:val="000000"/>
          <w:sz w:val="24"/>
          <w:highlight w:val="yellow"/>
        </w:rPr>
        <w:t xml:space="preserve">% 的，即投标（响应）报价&lt;采购项目最高限价×</w:t>
      </w:r>
      <w:r>
        <w:rPr>
          <w:rFonts w:hint="eastAsia" w:ascii="宋体" w:hAnsi="宋体" w:cs="宋体"/>
          <w:color w:val="000000"/>
          <w:sz w:val="24"/>
          <w:highlight w:val="yellow"/>
          <w:lang w:val="en-US" w:eastAsia="zh-CN"/>
        </w:rPr>
        <w:t xml:space="preserve">65</w:t>
      </w:r>
      <w:r>
        <w:rPr>
          <w:rFonts w:ascii="宋体" w:hAnsi="宋体" w:cs="宋体"/>
          <w:color w:val="000000"/>
          <w:sz w:val="24"/>
          <w:highlight w:val="yellow"/>
        </w:rPr>
        <w:t xml:space="preserve">% ；</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25.1.10.4评审委员会认定的供应商报价过低、有可能影响产品质量或者不能诚信履约的其他情形。</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25.1.10.5</w:t>
      </w:r>
      <w:r>
        <w:rPr>
          <w:rFonts w:ascii="宋体" w:hAnsi="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highlight w:val="white"/>
        </w:rPr>
        <w:t xml:space="preserve">给予相关供应商的合理时间一般</w:t>
      </w:r>
      <w:r>
        <w:rPr>
          <w:rFonts w:ascii="宋体" w:hAnsi="宋体" w:cs="宋体"/>
          <w:color w:val="ff0000"/>
          <w:sz w:val="24"/>
          <w:highlight w:val="white"/>
        </w:rPr>
        <w:t xml:space="preserve">不少于30分钟</w:t>
      </w:r>
      <w:r>
        <w:rPr>
          <w:rFonts w:ascii="宋体" w:hAnsi="宋体" w:cs="宋体"/>
          <w:color w:val="383838"/>
          <w:sz w:val="24"/>
          <w:highlight w:val="white"/>
        </w:rPr>
        <w:t xml:space="preserve">。其中，属于第3项情形，供应商已随投标（响应）文件一并提交相关书面说明及必要的证明材料的，在评审现场可不再重复提交。</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因苏采云系统系统故障原因造成开标不成功的。</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交易中心将在“江苏政府采购网、扬州市政府采购网”发布中标公告，公告期限为1个工作日。</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  若有充分证据证明，中标供应商出现下列情况之一的，一经查实，将被取消中标资格：</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 提出质疑的供应商应当是参与所质疑项目采购活动的供应商。潜在供应商依法获取其可质疑的采购文件的，可以对采购文件提出质疑。</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w:t>
      </w:r>
      <w:r>
        <w:rPr>
          <w:rFonts w:ascii="宋体" w:hAnsi="宋体" w:cs="宋体"/>
          <w:color w:val="000000"/>
          <w:sz w:val="24"/>
          <w:highlight w:val="yellow"/>
        </w:rPr>
        <w:t xml:space="preserve">供应商（含潜在供应商）对与本项目有关的所有询问、质疑均请向采购人提出，由采购人负责答复。</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 内容不符合《政府采购质疑和投诉办法》第十二条规定的质疑。</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exac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exact"/>
        <w:rPr>
          <w:rFonts w:ascii="黑体" w:hAnsi="黑体" w:cs="黑体"/>
          <w:b/>
          <w:color w:val="000000"/>
        </w:rPr>
        <w:pBdr>
          <w:top w:val="none" w:color="000000" w:sz="0" w:space="0"/>
          <w:left w:val="none" w:color="000000" w:sz="0" w:space="0"/>
          <w:bottom w:val="none" w:color="000000" w:sz="0" w:space="0"/>
          <w:right w:val="none" w:color="000000" w:sz="0" w:space="0"/>
        </w:pBd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宋体" w:hAnsi="宋体" w:cs="宋体"/>
          <w:color w:val="000000"/>
          <w:sz w:val="24"/>
        </w:rPr>
        <w:t xml:space="preserve">中标供应商可凭政府采购合同办理融资贷款，详情请见江苏政府采购网“政采贷”专栏。</w:t>
      </w:r>
      <w:r/>
    </w:p>
    <w:p>
      <w:pPr>
        <w:pStyle w:val="707"/>
        <w:spacing w:before="480" w:after="200"/>
        <w:rPr>
          <w:rFonts w:hint="eastAsia"/>
        </w:rPr>
        <w:pBdr>
          <w:top w:val="none" w:color="000000" w:sz="0" w:space="0"/>
          <w:left w:val="none" w:color="000000" w:sz="0" w:space="0"/>
          <w:bottom w:val="none" w:color="000000" w:sz="0" w:space="0"/>
          <w:right w:val="none" w:color="000000" w:sz="0" w:space="0"/>
        </w:pBdr>
      </w:pPr>
      <w:r>
        <w:rPr>
          <w:rFonts w:ascii="黑体" w:hAnsi="黑体" w:cs="黑体"/>
          <w:b/>
          <w:color w:val="000000"/>
        </w:rPr>
        <w:t xml:space="preserve">第三章 合同文本</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乙方保证所交付的服务（包含与服务相关的货物）的所有权完全属于乙方且无任何抵押、查封等产权瑕疵。</w:t>
      </w:r>
      <w:r/>
    </w:p>
    <w:p>
      <w:pPr>
        <w:ind w:left="410" w:hanging="41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乙方交纳人民币___</w:t>
      </w:r>
      <w:r>
        <w:rPr>
          <w:rFonts w:ascii="宋体" w:hAnsi="宋体" w:cs="宋体"/>
          <w:color w:val="0000ff"/>
          <w:sz w:val="24"/>
          <w:u w:val="single"/>
        </w:rPr>
        <w:t xml:space="preserve">零</w:t>
      </w:r>
      <w:r>
        <w:rPr>
          <w:rFonts w:ascii="宋体" w:hAnsi="宋体" w:cs="宋体"/>
          <w:color w:val="000000"/>
          <w:sz w:val="24"/>
        </w:rPr>
        <w:t xml:space="preserve">______元作为本合同的履约保证金。（不得超过合同金额的10%）</w:t>
      </w:r>
      <w:r/>
    </w:p>
    <w:p>
      <w:pPr>
        <w:ind w:left="408" w:hanging="408"/>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6.2合同履行结束后，甲方应及时退还交纳的履约保证金。</w:t>
      </w:r>
      <w:r/>
    </w:p>
    <w:p>
      <w:pPr>
        <w:ind w:left="408" w:hanging="408"/>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6.2.1履约保证金退还方式：</w:t>
      </w:r>
      <w:r>
        <w:rPr>
          <w:rFonts w:ascii="宋体" w:hAnsi="宋体" w:cs="宋体"/>
          <w:color w:val="0000ff"/>
          <w:sz w:val="24"/>
        </w:rPr>
        <w:t xml:space="preserve">无</w:t>
      </w:r>
      <w:r/>
    </w:p>
    <w:p>
      <w:pPr>
        <w:ind w:left="408" w:hanging="408"/>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6.2.2履约保证金退还时间：</w:t>
      </w:r>
      <w:r>
        <w:rPr>
          <w:rFonts w:ascii="宋体" w:hAnsi="宋体" w:cs="宋体"/>
          <w:color w:val="0000ff"/>
          <w:sz w:val="24"/>
        </w:rPr>
        <w:t xml:space="preserve">无</w:t>
      </w:r>
      <w:r/>
    </w:p>
    <w:p>
      <w:pPr>
        <w:ind w:left="408" w:hanging="408"/>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6.2.3履约保证金退还条件：</w:t>
      </w:r>
      <w:r>
        <w:rPr>
          <w:rFonts w:ascii="宋体" w:hAnsi="宋体" w:cs="宋体"/>
          <w:color w:val="0000ff"/>
          <w:sz w:val="24"/>
        </w:rPr>
        <w:t xml:space="preserve">无</w:t>
      </w:r>
      <w:r/>
    </w:p>
    <w:p>
      <w:pPr>
        <w:ind w:left="408" w:hanging="408"/>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6.2.4履约保证金不予退还的情形：</w:t>
      </w:r>
      <w:r>
        <w:rPr>
          <w:rFonts w:ascii="宋体" w:hAnsi="宋体" w:cs="宋体"/>
          <w:color w:val="0000ff"/>
          <w:sz w:val="24"/>
        </w:rPr>
        <w:t xml:space="preserve">无</w:t>
      </w:r>
      <w:r/>
    </w:p>
    <w:p>
      <w:pPr>
        <w:ind w:left="408" w:hanging="408"/>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6.2.5履约保证金逾期退还的违约责任：</w:t>
      </w:r>
      <w:r>
        <w:rPr>
          <w:rFonts w:ascii="宋体" w:hAnsi="宋体" w:cs="宋体"/>
          <w:color w:val="0000ff"/>
          <w:sz w:val="24"/>
        </w:rPr>
        <w:t xml:space="preserve">无</w:t>
      </w:r>
      <w:r/>
    </w:p>
    <w:p>
      <w:pPr>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8.1合同款项的支付方式及进度安排</w:t>
      </w:r>
      <w:r/>
    </w:p>
    <w:p>
      <w:pPr>
        <w:spacing w:before="145" w:after="145" w:line="400" w:lineRule="exact"/>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b/>
          <w:sz w:val="24"/>
          <w:szCs w:val="24"/>
        </w:rPr>
        <w:t xml:space="preserve">合同签订后，乙方向甲方开具发票，甲方自收到发票之日起 10 个工作日内，支付乙方一年合同总价30%的预付款。服务开始后，甲乙双方按 3个月为一个周期结算服务费用，每周期结束后，甲乙双方按考核结果确定实际支付费用(先从预付款内抵扣)，乙方必须提供甲方的签发的结算清单及开具的正规增值税发票等材料交甲方办理付款手续，甲方收到发票之日起 10 个工作日内支付当期运维服务费用。由于预付款超出第一个考核周期支付费用，第一个考核周期的考核结果纳入至第二个考核周期统一结算。</w:t>
      </w:r>
      <w:r/>
    </w:p>
    <w:p>
      <w:pPr>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乙方所提供服务的标准不符合合同规定及招标文件规定标准的，甲方有权拒绝接受服务，并可单方面解除合同。</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p>
      <w:pPr>
        <w:spacing w:before="120" w:after="120"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spacing w:before="120" w:after="120" w:line="400" w:lineRule="exact"/>
        <w:pBdr>
          <w:top w:val="none" w:color="000000" w:sz="0" w:space="0"/>
          <w:left w:val="none" w:color="000000" w:sz="0" w:space="0"/>
          <w:bottom w:val="none" w:color="000000" w:sz="0" w:space="0"/>
          <w:right w:val="none" w:color="000000" w:sz="0" w:space="0"/>
        </w:pBdr>
      </w:pPr>
      <w:r/>
      <w:r/>
    </w:p>
    <w:tbl>
      <w:tblPr>
        <w:tblStyle w:val="761"/>
        <w:tblW w:w="895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480"/>
        <w:gridCol w:w="4473"/>
      </w:tblGrid>
      <w:tr>
        <w:trPr>
          <w:jc w:val="center"/>
        </w:trPr>
        <w:tc>
          <w:tcPr>
            <w:tcBorders>
              <w:top w:val="none" w:color="000000" w:sz="4" w:space="0"/>
              <w:left w:val="none" w:color="000000" w:sz="4" w:space="0"/>
              <w:bottom w:val="none" w:color="000000" w:sz="4" w:space="0"/>
              <w:right w:val="none" w:color="000000" w:sz="4" w:space="0"/>
            </w:tcBorders>
            <w:tcW w:w="4480" w:type="dxa"/>
            <w:textDirection w:val="lrTb"/>
            <w:noWrap w:val="false"/>
          </w:tcPr>
          <w:p>
            <w:pPr>
              <w:jc w:val="left"/>
              <w:spacing w:before="120" w:after="120" w:line="40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473" w:type="dxa"/>
            <w:textDirection w:val="lrTb"/>
            <w:noWrap w:val="false"/>
          </w:tcPr>
          <w:p>
            <w:pPr>
              <w:jc w:val="left"/>
              <w:spacing w:before="120" w:after="120" w:line="40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480" w:type="dxa"/>
            <w:textDirection w:val="lrTb"/>
            <w:noWrap w:val="false"/>
          </w:tcPr>
          <w:p>
            <w:pPr>
              <w:jc w:val="left"/>
              <w:spacing w:before="120" w:after="120" w:line="40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473" w:type="dxa"/>
            <w:textDirection w:val="lrTb"/>
            <w:noWrap w:val="false"/>
          </w:tcPr>
          <w:p>
            <w:pPr>
              <w:jc w:val="left"/>
              <w:spacing w:before="120" w:after="120" w:line="40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480" w:type="dxa"/>
            <w:textDirection w:val="lrTb"/>
            <w:noWrap w:val="false"/>
          </w:tcPr>
          <w:p>
            <w:pPr>
              <w:jc w:val="left"/>
              <w:spacing w:before="120" w:after="120" w:line="40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473" w:type="dxa"/>
            <w:textDirection w:val="lrTb"/>
            <w:noWrap w:val="false"/>
          </w:tcPr>
          <w:p>
            <w:pPr>
              <w:jc w:val="left"/>
              <w:spacing w:before="120" w:after="120" w:line="40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480" w:type="dxa"/>
            <w:textDirection w:val="lrTb"/>
            <w:noWrap w:val="false"/>
          </w:tcPr>
          <w:p>
            <w:pPr>
              <w:jc w:val="left"/>
              <w:spacing w:before="120" w:after="120" w:line="40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473" w:type="dxa"/>
            <w:textDirection w:val="lrTb"/>
            <w:noWrap w:val="false"/>
          </w:tcPr>
          <w:p>
            <w:pPr>
              <w:jc w:val="left"/>
              <w:spacing w:before="120" w:after="120" w:line="40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jc w:val="cente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right"/>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签订日期：年  月 日</w:t>
      </w:r>
      <w:r>
        <w:rPr>
          <w:rFonts w:ascii="宋体" w:hAnsi="宋体" w:cs="宋体"/>
          <w:color w:val="000000"/>
          <w:sz w:val="24"/>
        </w:rPr>
        <w:br w:type="page" w:clear="all"/>
      </w:r>
      <w:r/>
    </w:p>
    <w:p>
      <w:pPr>
        <w:pStyle w:val="707"/>
        <w:spacing w:before="480" w:after="200"/>
        <w:rPr>
          <w:rFonts w:hint="eastAsia"/>
        </w:rPr>
        <w:pBdr>
          <w:top w:val="none" w:color="000000" w:sz="0" w:space="0"/>
          <w:left w:val="none" w:color="000000" w:sz="0" w:space="0"/>
          <w:bottom w:val="none" w:color="000000" w:sz="0" w:space="0"/>
          <w:right w:val="none" w:color="000000" w:sz="0" w:space="0"/>
        </w:pBdr>
      </w:pPr>
      <w:r>
        <w:rPr>
          <w:rFonts w:ascii="黑体" w:hAnsi="黑体" w:cs="黑体"/>
          <w:b/>
          <w:color w:val="000000"/>
        </w:rPr>
        <w:t xml:space="preserve">第四章 采购需求</w:t>
      </w:r>
      <w:r/>
    </w:p>
    <w:p>
      <w:pPr>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项目属性:服务类项目</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tbl>
      <w:tblPr>
        <w:tblStyle w:val="761"/>
        <w:tblW w:w="86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3609"/>
        <w:gridCol w:w="39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jc w:val="center"/>
              <w:spacing w:line="0" w:lineRule="atLeast"/>
            </w:pPr>
            <w:r>
              <w:rPr>
                <w:rFonts w:hint="eastAsia" w:ascii="宋体" w:hAnsi="宋体"/>
                <w:sz w:val="24"/>
                <w:szCs w:val="24"/>
              </w:rPr>
              <w:t xml:space="preserve">城南、江运、金湾快速路等隧道土建机电运维</w:t>
            </w:r>
            <w:r>
              <w:rPr>
                <w:rFonts w:ascii="宋体" w:hAnsi="宋体"/>
                <w:sz w:val="24"/>
                <w:szCs w:val="24"/>
              </w:rPr>
              <w:t xml:space="preserve">服</w:t>
            </w:r>
            <w:r>
              <w:rPr>
                <w:rFonts w:hint="eastAsia" w:ascii="宋体" w:hAnsi="宋体"/>
                <w:sz w:val="24"/>
                <w:szCs w:val="24"/>
              </w:rPr>
              <w:t xml:space="preserve">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jc w:val="center"/>
              <w:spacing w:line="0" w:lineRule="atLeast"/>
            </w:pPr>
            <w:r>
              <w:rPr>
                <w:rFonts w:ascii="宋体" w:hAnsi="宋体"/>
                <w:sz w:val="24"/>
                <w:szCs w:val="24"/>
              </w:rPr>
              <w:t xml:space="preserve">建筑业</w:t>
            </w:r>
            <w:r/>
          </w:p>
        </w:tc>
      </w:tr>
    </w:tbl>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一、技术要求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技术要求是指对采购标的功能和质量要求，包括性能、材料、结构、外观、安全，或者服务内容和标准等。其中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rPr>
          <w:rFonts w:hint="eastAsia" w:ascii="宋体" w:hAnsi="宋体" w:cs="宋体"/>
          <w:b/>
          <w:sz w:val="24"/>
          <w:szCs w:val="24"/>
        </w:rPr>
        <w:t xml:space="preserve">项目运维清单</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bl>
      <w:tblPr>
        <w:tblStyle w:val="717"/>
        <w:tblW w:w="92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4110"/>
        <w:gridCol w:w="4089"/>
      </w:tblGrid>
      <w:tr>
        <w:trPr>
          <w:trHeight w:val="38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65" w:type="dxa"/>
            <w:vAlign w:val="center"/>
            <w:textDirection w:val="lrTb"/>
            <w:noWrap w:val="false"/>
          </w:tcPr>
          <w:p>
            <w:pPr>
              <w:ind w:right="-113" w:firstLine="21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4110"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4089"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备注</w:t>
            </w:r>
            <w:r/>
          </w:p>
        </w:tc>
      </w:tr>
      <w:tr>
        <w:trPr>
          <w:trHeight w:val="3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65" w:type="dxa"/>
            <w:vAlign w:val="center"/>
            <w:textDirection w:val="lrTb"/>
            <w:noWrap w:val="false"/>
          </w:tcPr>
          <w:p>
            <w:pPr>
              <w:ind w:left="8" w:right="-113"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110"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运维人工费用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089"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含社保、生活费</w:t>
            </w:r>
            <w:r/>
          </w:p>
        </w:tc>
      </w:tr>
      <w:tr>
        <w:trPr>
          <w:trHeight w:val="37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65" w:type="dxa"/>
            <w:vAlign w:val="center"/>
            <w:textDirection w:val="lrTb"/>
            <w:noWrap w:val="false"/>
          </w:tcPr>
          <w:p>
            <w:pPr>
              <w:ind w:left="8" w:right="-113"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110"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运维检测费用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089"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运维检测费用</w:t>
            </w:r>
            <w:r/>
          </w:p>
        </w:tc>
      </w:tr>
      <w:tr>
        <w:trPr>
          <w:trHeight w:val="33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65" w:type="dxa"/>
            <w:vAlign w:val="center"/>
            <w:textDirection w:val="lrTb"/>
            <w:noWrap w:val="false"/>
          </w:tcPr>
          <w:p>
            <w:pPr>
              <w:ind w:left="8" w:right="-113"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110"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运维工具、设备费用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089"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运维工具、设备费用</w:t>
            </w:r>
            <w:r/>
          </w:p>
        </w:tc>
      </w:tr>
      <w:tr>
        <w:trPr>
          <w:trHeight w:val="390"/>
        </w:trPr>
        <w:tc>
          <w:tcPr>
            <w:tcBorders>
              <w:top w:val="none" w:color="000000" w:sz="4" w:space="0"/>
              <w:left w:val="single" w:color="000000" w:sz="8" w:space="0"/>
              <w:bottom w:val="single" w:color="auto" w:sz="4" w:space="0"/>
              <w:right w:val="single" w:color="000000" w:sz="8" w:space="0"/>
            </w:tcBorders>
            <w:tcMar>
              <w:left w:w="15" w:type="dxa"/>
              <w:top w:w="15" w:type="dxa"/>
              <w:right w:w="15" w:type="dxa"/>
              <w:bottom w:w="15" w:type="dxa"/>
            </w:tcMar>
            <w:tcW w:w="1065" w:type="dxa"/>
            <w:vAlign w:val="center"/>
            <w:textDirection w:val="lrTb"/>
            <w:noWrap w:val="false"/>
          </w:tcPr>
          <w:p>
            <w:pPr>
              <w:ind w:left="8" w:right="-113"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Borders>
              <w:top w:val="none" w:color="000000" w:sz="4" w:space="0"/>
              <w:left w:val="none" w:color="000000" w:sz="4" w:space="0"/>
              <w:bottom w:val="single" w:color="auto" w:sz="4" w:space="0"/>
              <w:right w:val="single" w:color="000000" w:sz="8" w:space="0"/>
            </w:tcBorders>
            <w:tcMar>
              <w:left w:w="15" w:type="dxa"/>
              <w:top w:w="15" w:type="dxa"/>
              <w:right w:w="15" w:type="dxa"/>
              <w:bottom w:w="15" w:type="dxa"/>
            </w:tcMar>
            <w:tcW w:w="4110"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运维材料费用</w:t>
            </w:r>
            <w:r/>
          </w:p>
        </w:tc>
        <w:tc>
          <w:tcPr>
            <w:tcBorders>
              <w:top w:val="none" w:color="000000" w:sz="4" w:space="0"/>
              <w:left w:val="none" w:color="000000" w:sz="4" w:space="0"/>
              <w:bottom w:val="single" w:color="auto" w:sz="4" w:space="0"/>
              <w:right w:val="single" w:color="000000" w:sz="8" w:space="0"/>
            </w:tcBorders>
            <w:tcMar>
              <w:left w:w="15" w:type="dxa"/>
              <w:top w:w="15" w:type="dxa"/>
              <w:right w:w="15" w:type="dxa"/>
              <w:bottom w:w="15" w:type="dxa"/>
            </w:tcMar>
            <w:tcW w:w="4089"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rHeight w:val="390"/>
        </w:trPr>
        <w:tc>
          <w:tcPr>
            <w:tcBorders>
              <w:top w:val="single" w:color="auto" w:sz="4" w:space="0"/>
              <w:left w:val="single" w:color="auto" w:sz="4" w:space="0"/>
              <w:bottom w:val="single" w:color="auto" w:sz="4" w:space="0"/>
              <w:right w:val="single" w:color="000000" w:sz="8" w:space="0"/>
            </w:tcBorders>
            <w:tcMar>
              <w:left w:w="15" w:type="dxa"/>
              <w:top w:w="15" w:type="dxa"/>
              <w:right w:w="15" w:type="dxa"/>
              <w:bottom w:w="15" w:type="dxa"/>
            </w:tcMar>
            <w:tcW w:w="1065" w:type="dxa"/>
            <w:vAlign w:val="center"/>
            <w:textDirection w:val="lrTb"/>
            <w:noWrap w:val="false"/>
          </w:tcPr>
          <w:p>
            <w:pPr>
              <w:ind w:left="8" w:right="-113"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Borders>
              <w:top w:val="single" w:color="auto" w:sz="4" w:space="0"/>
              <w:left w:val="none" w:color="000000" w:sz="4" w:space="0"/>
              <w:bottom w:val="single" w:color="auto" w:sz="4" w:space="0"/>
              <w:right w:val="single" w:color="000000" w:sz="8" w:space="0"/>
            </w:tcBorders>
            <w:tcMar>
              <w:left w:w="15" w:type="dxa"/>
              <w:top w:w="15" w:type="dxa"/>
              <w:right w:w="15" w:type="dxa"/>
              <w:bottom w:w="15" w:type="dxa"/>
            </w:tcMar>
            <w:tcW w:w="4110"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车辆使用费用</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4089"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bl>
    <w:p>
      <w:pPr>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r/>
      <w:r/>
    </w:p>
    <w:p>
      <w:pPr>
        <w:pStyle w:val="708"/>
        <w:jc w:val="both"/>
        <w:spacing w:line="553"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1、运维人工（不少于表中数量）</w:t>
      </w:r>
      <w:r/>
    </w:p>
    <w:tbl>
      <w:tblPr>
        <w:tblStyle w:val="717"/>
        <w:tblW w:w="954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577"/>
        <w:gridCol w:w="1134"/>
        <w:gridCol w:w="5758"/>
      </w:tblGrid>
      <w:tr>
        <w:trPr>
          <w:trHeight w:val="28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合同岗位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岗位人数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岗位要求</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项目经理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keepLines/>
              <w:keepNext/>
              <w:spacing w:before="145" w:after="145"/>
              <w:rPr>
                <w:rFonts w:ascii="宋体" w:hAnsi="宋体"/>
                <w:b/>
                <w:bCs/>
                <w:i/>
                <w:iCs/>
                <w:sz w:val="24"/>
                <w:szCs w:val="24"/>
                <w:u w:val="single"/>
              </w:rPr>
              <w:outlineLvl w:val="2"/>
            </w:pPr>
            <w:r>
              <w:rPr>
                <w:rFonts w:hint="eastAsia" w:ascii="宋体" w:hAnsi="宋体"/>
                <w:b/>
                <w:bCs/>
                <w:i/>
                <w:iCs/>
                <w:sz w:val="24"/>
                <w:szCs w:val="24"/>
                <w:u w:val="single"/>
              </w:rPr>
              <w:t xml:space="preserve">2023年1月至今承担过2项与本项目类似业绩,业绩服务内容须包含隧道土建结构运维、机电设施运维、安全及应急管理等。须提供业绩证明单位开具的业绩评价（须含证明单位联系人、联系方式）并加盖证明单位公章、业绩合同；近三个月内任意一个月有效社保证明等证明材料。（上述业绩证明材料</w:t>
            </w:r>
            <w:r>
              <w:rPr>
                <w:rFonts w:hint="eastAsia" w:ascii="宋体" w:hAnsi="宋体"/>
                <w:b/>
                <w:bCs/>
                <w:i/>
                <w:iCs/>
                <w:sz w:val="24"/>
                <w:szCs w:val="24"/>
                <w:u w:val="single"/>
                <w:lang w:val="en-US" w:eastAsia="zh-CN"/>
              </w:rPr>
              <w:t xml:space="preserve">须</w:t>
            </w:r>
            <w:r>
              <w:rPr>
                <w:rFonts w:hint="eastAsia" w:ascii="宋体" w:hAnsi="宋体"/>
                <w:b/>
                <w:bCs/>
                <w:i/>
                <w:iCs/>
                <w:sz w:val="24"/>
                <w:szCs w:val="24"/>
                <w:u w:val="single"/>
              </w:rPr>
              <w:t xml:space="preserve">同时提供且能反映出业绩服务内容，若无法反映业绩服务内容视为无效，原件扫描上传）</w:t>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技术负责人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b/>
                <w:bCs/>
                <w:i/>
                <w:iCs/>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b/>
                <w:bCs/>
                <w:i/>
                <w:iCs/>
                <w:sz w:val="24"/>
                <w:szCs w:val="24"/>
                <w:u w:val="single"/>
              </w:rPr>
              <w:t xml:space="preserve">2023年1月至今承担过2项与本项目类似业绩,业绩服务内容须包含隧道土建结构运维、机电设施运维、安全及应急管理等。须提供业绩证明单位开具的业绩评价（须含证明单位联系人、联系方式）并加盖证明单位公章；业绩合同；近三个月内任意一个月有效社保证明等证明材料。（上述业绩证明材料</w:t>
            </w:r>
            <w:r>
              <w:rPr>
                <w:rFonts w:hint="eastAsia" w:ascii="宋体" w:hAnsi="宋体"/>
                <w:b/>
                <w:bCs/>
                <w:i/>
                <w:iCs/>
                <w:sz w:val="24"/>
                <w:szCs w:val="24"/>
                <w:u w:val="single"/>
                <w:lang w:val="en-US" w:eastAsia="zh-CN"/>
              </w:rPr>
              <w:t xml:space="preserve">须</w:t>
            </w:r>
            <w:r>
              <w:rPr>
                <w:rFonts w:hint="eastAsia" w:ascii="宋体" w:hAnsi="宋体"/>
                <w:b/>
                <w:bCs/>
                <w:i/>
                <w:iCs/>
                <w:sz w:val="24"/>
                <w:szCs w:val="24"/>
                <w:u w:val="single"/>
              </w:rPr>
              <w:t xml:space="preserve">同时提供且能反映出业绩服务内容，若无法反映业绩服务内容视为无效，原件扫描上传）</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安全员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具有行政主管部门核发的《建筑施工企业工程负责人安全生产考核合格证书》C证。</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机电工程师</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近五年内承担过</w:t>
            </w:r>
            <w:r>
              <w:rPr>
                <w:rFonts w:hint="eastAsia" w:ascii="宋体" w:hAnsi="宋体" w:cs="宋体"/>
                <w:sz w:val="24"/>
                <w:szCs w:val="24"/>
              </w:rPr>
              <w:t xml:space="preserve">隧道运维工作。</w:t>
            </w:r>
            <w:r>
              <w:rPr>
                <w:rFonts w:hint="eastAsia" w:ascii="宋体" w:hAnsi="宋体"/>
                <w:color w:val="auto"/>
                <w:sz w:val="24"/>
                <w:szCs w:val="24"/>
                <w:highlight w:val="none"/>
              </w:rPr>
              <w:t xml:space="preserve">具有二级</w:t>
            </w:r>
            <w:r>
              <w:rPr>
                <w:rFonts w:hint="eastAsia" w:ascii="宋体" w:hAnsi="宋体"/>
                <w:color w:val="auto"/>
                <w:sz w:val="24"/>
                <w:szCs w:val="24"/>
                <w:highlight w:val="none"/>
                <w:lang w:eastAsia="zh-CN"/>
              </w:rPr>
              <w:t xml:space="preserve">及以上</w:t>
            </w:r>
            <w:r>
              <w:rPr>
                <w:rFonts w:hint="eastAsia" w:ascii="宋体" w:hAnsi="宋体"/>
                <w:color w:val="auto"/>
                <w:sz w:val="24"/>
                <w:szCs w:val="24"/>
                <w:highlight w:val="none"/>
              </w:rPr>
              <w:t xml:space="preserve">建造师证书（机电）</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土建工程师</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近五年内承担过</w:t>
            </w:r>
            <w:r>
              <w:rPr>
                <w:rFonts w:hint="eastAsia" w:ascii="宋体" w:hAnsi="宋体" w:cs="宋体"/>
                <w:sz w:val="24"/>
                <w:szCs w:val="24"/>
              </w:rPr>
              <w:t xml:space="preserve">隧道运维工作。</w:t>
            </w:r>
            <w:r>
              <w:rPr>
                <w:rFonts w:hint="eastAsia" w:ascii="宋体" w:hAnsi="宋体"/>
                <w:color w:val="auto"/>
                <w:sz w:val="24"/>
                <w:szCs w:val="24"/>
                <w:highlight w:val="none"/>
              </w:rPr>
              <w:t xml:space="preserve">具有二级</w:t>
            </w:r>
            <w:r>
              <w:rPr>
                <w:rFonts w:hint="eastAsia" w:ascii="宋体" w:hAnsi="宋体"/>
                <w:color w:val="auto"/>
                <w:sz w:val="24"/>
                <w:szCs w:val="24"/>
                <w:highlight w:val="none"/>
                <w:lang w:eastAsia="zh-CN"/>
              </w:rPr>
              <w:t xml:space="preserve">及以上</w:t>
            </w:r>
            <w:r>
              <w:rPr>
                <w:rFonts w:hint="eastAsia" w:ascii="宋体" w:hAnsi="宋体"/>
                <w:color w:val="auto"/>
                <w:sz w:val="24"/>
                <w:szCs w:val="24"/>
                <w:highlight w:val="none"/>
              </w:rPr>
              <w:t xml:space="preserve">建造师证书（公路）</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土建检修人员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近五年内承担过</w:t>
            </w:r>
            <w:r>
              <w:rPr>
                <w:rFonts w:hint="eastAsia" w:ascii="宋体" w:hAnsi="宋体" w:cs="宋体"/>
                <w:sz w:val="24"/>
                <w:szCs w:val="24"/>
              </w:rPr>
              <w:t xml:space="preserve">隧道运维工作。</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机电检修人员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29</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近五年内承担过</w:t>
            </w:r>
            <w:r>
              <w:rPr>
                <w:rFonts w:hint="eastAsia" w:ascii="宋体" w:hAnsi="宋体" w:cs="宋体"/>
                <w:sz w:val="24"/>
                <w:szCs w:val="24"/>
              </w:rPr>
              <w:t xml:space="preserve">隧道运维工作。</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消控值班人员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具有中级消防设施操作员证或</w:t>
            </w:r>
            <w:r>
              <w:rPr>
                <w:rFonts w:hint="eastAsia" w:ascii="宋体" w:hAnsi="宋体" w:cs="宋体"/>
                <w:b/>
                <w:bCs/>
                <w:sz w:val="24"/>
                <w:szCs w:val="24"/>
              </w:rPr>
              <w:t xml:space="preserve">建（构）筑物消防员证</w:t>
            </w:r>
            <w:r/>
          </w:p>
        </w:tc>
      </w:tr>
      <w:tr>
        <w:trPr>
          <w:trHeight w:val="28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配电站巡检人员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均需持有特种作业操作证（高压）</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作业司机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半数人员需持有B2及以上驾驶证，其他人需持有C1及以上驾驶证，且所有人员近三年内无重大交通事故记录。</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应急队员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办公管理（财务、物资）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财务1名，物资1名。</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后勤人员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bl>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pStyle w:val="708"/>
        <w:jc w:val="both"/>
        <w:spacing w:line="553"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2、运维检测（含但不限于）</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（1）城南快速路隧道及附属设施的土建机电运维检测项目</w:t>
      </w:r>
      <w:r/>
    </w:p>
    <w:tbl>
      <w:tblPr>
        <w:tblStyle w:val="717"/>
        <w:tblW w:w="5978" w:type="dxa"/>
        <w:tblInd w:w="83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4966"/>
      </w:tblGrid>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项目</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高压设备检测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消防系统检测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电梯检测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空调系统检测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地埋变预防性试验等</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绝缘靴检测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绝缘手套检测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验电器检测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防雷检测</w:t>
            </w:r>
            <w:r/>
          </w:p>
        </w:tc>
      </w:tr>
    </w:tbl>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（2）江运快速路隧道及附属设施的土建机电运维检测项目</w:t>
      </w:r>
      <w:r/>
    </w:p>
    <w:p>
      <w:r/>
      <w:r/>
    </w:p>
    <w:tbl>
      <w:tblPr>
        <w:tblStyle w:val="717"/>
        <w:tblW w:w="5935" w:type="dxa"/>
        <w:tblInd w:w="86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4955"/>
      </w:tblGrid>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5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项目</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5"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高压设备检测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5"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消防系统检测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5"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电梯检测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5"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空调系统检测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5"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地埋变预防性试验等</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5"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绝缘靴检测</w:t>
            </w:r>
            <w:r/>
          </w:p>
        </w:tc>
      </w:tr>
      <w:tr>
        <w:trPr>
          <w:trHeight w:val="503"/>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955"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绝缘手套检测</w:t>
            </w:r>
            <w:r/>
          </w:p>
        </w:tc>
      </w:tr>
      <w:tr>
        <w:trPr>
          <w:trHeight w:val="503"/>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55"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验电器检测</w:t>
            </w:r>
            <w:r/>
          </w:p>
        </w:tc>
      </w:tr>
      <w:tr>
        <w:trPr>
          <w:trHeight w:val="503"/>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55"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防雷检测</w:t>
            </w:r>
            <w:r/>
          </w:p>
        </w:tc>
      </w:tr>
    </w:tbl>
    <w:p>
      <w:pPr>
        <w:ind w:firstLine="480"/>
        <w:spacing w:line="85" w:lineRule="atLeast"/>
        <w:rPr>
          <w:rFonts w:hint="eastAsia" w:ascii="宋体" w:hAnsi="宋体" w:eastAsia="宋体" w:cs="宋体"/>
          <w:sz w:val="24"/>
          <w:szCs w:val="24"/>
          <w:highlight w:val="green"/>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w:t>
      </w:r>
      <w:r>
        <w:rPr>
          <w:rFonts w:hint="eastAsia" w:ascii="宋体" w:hAnsi="宋体"/>
          <w:sz w:val="24"/>
          <w:szCs w:val="24"/>
        </w:rPr>
        <w:t xml:space="preserve">各隧道</w:t>
      </w:r>
      <w:r>
        <w:rPr>
          <w:rFonts w:hint="eastAsia" w:ascii="宋体" w:hAnsi="宋体" w:cs="宋体"/>
          <w:sz w:val="24"/>
          <w:szCs w:val="24"/>
        </w:rPr>
        <w:t xml:space="preserve">土建机电运维检测项目以现场实际情况及采购人要求为准。</w:t>
      </w:r>
      <w:r>
        <w:rPr>
          <w:rFonts w:hint="eastAsia" w:ascii="宋体" w:hAnsi="宋体" w:cs="宋体"/>
          <w:sz w:val="24"/>
          <w:szCs w:val="24"/>
          <w:highlight w:val="green"/>
          <w:lang w:eastAsia="zh-CN"/>
        </w:rPr>
        <w:t xml:space="preserve">金湾快速路隧道、</w:t>
      </w:r>
      <w:r>
        <w:rPr>
          <w:rFonts w:hint="eastAsia" w:ascii="宋体" w:hAnsi="宋体"/>
          <w:sz w:val="24"/>
          <w:szCs w:val="24"/>
          <w:highlight w:val="green"/>
        </w:rPr>
        <w:t xml:space="preserve">经四路隧道检测项目</w:t>
      </w:r>
      <w:r>
        <w:rPr>
          <w:rFonts w:hint="eastAsia" w:ascii="宋体" w:hAnsi="宋体"/>
          <w:sz w:val="24"/>
          <w:szCs w:val="24"/>
          <w:highlight w:val="green"/>
          <w:lang w:eastAsia="zh-CN"/>
        </w:rPr>
        <w:t xml:space="preserve">参考</w:t>
      </w:r>
      <w:r>
        <w:rPr>
          <w:rFonts w:hint="eastAsia" w:ascii="宋体" w:hAnsi="宋体" w:cs="宋体"/>
          <w:sz w:val="24"/>
          <w:szCs w:val="24"/>
          <w:highlight w:val="green"/>
        </w:rPr>
        <w:t xml:space="preserve">城南快速路隧道</w:t>
      </w:r>
      <w:r>
        <w:rPr>
          <w:rFonts w:hint="eastAsia" w:ascii="宋体" w:hAnsi="宋体" w:cs="宋体"/>
          <w:sz w:val="24"/>
          <w:szCs w:val="24"/>
          <w:highlight w:val="green"/>
          <w:lang w:eastAsia="zh-CN"/>
        </w:rPr>
        <w:t xml:space="preserve">、</w:t>
      </w:r>
      <w:r>
        <w:rPr>
          <w:rFonts w:hint="eastAsia" w:ascii="宋体" w:hAnsi="宋体" w:cs="宋体"/>
          <w:sz w:val="24"/>
          <w:szCs w:val="24"/>
          <w:highlight w:val="green"/>
        </w:rPr>
        <w:t xml:space="preserve">江运快速路隧道</w:t>
      </w:r>
      <w:r>
        <w:rPr>
          <w:rFonts w:hint="eastAsia" w:ascii="宋体" w:hAnsi="宋体" w:cs="宋体"/>
          <w:sz w:val="24"/>
          <w:szCs w:val="24"/>
          <w:highlight w:val="green"/>
          <w:lang w:eastAsia="zh-CN"/>
        </w:rPr>
        <w:t xml:space="preserve">检测项目清单。</w:t>
      </w:r>
      <w:r/>
    </w:p>
    <w:p>
      <w:pPr>
        <w:ind w:firstLine="480"/>
        <w:spacing w:line="85" w:lineRule="atLeast"/>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本项目所有检测、试验均需中标单位按照相关规范要求出具检测或试验报告。</w:t>
      </w:r>
      <w:r/>
    </w:p>
    <w:p>
      <w:pPr>
        <w:pStyle w:val="708"/>
        <w:jc w:val="both"/>
        <w:rPr>
          <w:rFonts w:ascii="宋体" w:hAnsi="宋体" w:eastAsia="宋体" w:cs="宋体"/>
          <w:b w:val="0"/>
          <w:bCs w:val="0"/>
          <w:sz w:val="24"/>
          <w:szCs w:val="24"/>
        </w:rPr>
      </w:pPr>
      <w:r>
        <w:rPr>
          <w:rFonts w:hint="eastAsia" w:ascii="宋体" w:hAnsi="宋体" w:eastAsia="宋体" w:cs="宋体"/>
          <w:sz w:val="24"/>
          <w:szCs w:val="24"/>
        </w:rPr>
        <w:t xml:space="preserve">3、运维工具、设备（含但不限于）</w:t>
      </w:r>
      <w:r/>
    </w:p>
    <w:p>
      <w:r>
        <w:rPr>
          <w:rFonts w:hint="eastAsia" w:ascii="宋体" w:hAnsi="宋体" w:cs="宋体"/>
          <w:sz w:val="24"/>
          <w:szCs w:val="24"/>
        </w:rPr>
        <w:t xml:space="preserve">（1）城南快速路隧道及附属设施土建机电运维工具、设备</w:t>
      </w:r>
      <w:r/>
    </w:p>
    <w:p>
      <w:r/>
      <w:r/>
    </w:p>
    <w:tbl>
      <w:tblPr>
        <w:tblStyle w:val="717"/>
        <w:tblW w:w="7392" w:type="dxa"/>
        <w:tblInd w:w="83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2750"/>
        <w:gridCol w:w="1125"/>
        <w:gridCol w:w="2505"/>
      </w:tblGrid>
      <w:tr>
        <w:trPr>
          <w:trHeight w:val="503"/>
        </w:trPr>
        <w:tc>
          <w:tcPr>
            <w:tcBorders>
              <w:top w:val="single" w:color="auto" w:sz="4" w:space="0"/>
              <w:left w:val="single" w:color="auto" w:sz="4" w:space="0"/>
              <w:bottom w:val="single" w:color="auto" w:sz="4"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75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12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50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名称</w:t>
            </w:r>
            <w:r/>
          </w:p>
        </w:tc>
      </w:tr>
      <w:tr>
        <w:trPr>
          <w:trHeight w:val="503"/>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验电器</w:t>
            </w:r>
            <w:r/>
          </w:p>
        </w:tc>
        <w:tc>
          <w:tcPr>
            <w:shd w:val="clear" w:color="auto" w:fill="auto"/>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48</w:t>
            </w:r>
            <w:r/>
          </w:p>
        </w:tc>
        <w:tc>
          <w:tcPr>
            <w:shd w:val="clear" w:color="auto" w:fill="auto"/>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八角锤</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照度仪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两用电焊机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摇表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打气筒</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电缆探测仪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智能测压电笔</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蓄电池检测仪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电络铁</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切割机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电圆锯</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电动注浆泵</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发泡枪</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空气检测仪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150件套筒扳手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电锤</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钢锯</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电钻</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钢卷尺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飞机钻</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割管刀</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风炮</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48寸重型管钳</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空压机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活动扳手套装</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风镐</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机油枪</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开槽机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内六角扳手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锚杆拉力计</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平板推车</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数字万用表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十字螺丝刀套装</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温湿度仪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一字螺丝刀套装</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激光测距仪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塑封机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角磨机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液压钳</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红外线水平仪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游标卡尺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钳形表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10kw发电机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网络寻线仪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高拍仪</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自吸泵</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工业吸尘器</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蓄电池充电器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对讲机*6</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手持电动鼓风机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喊话器*6</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热风机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灭火器*12</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黄油枪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救生圈*6</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气钉枪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雪铲*25</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断线钳</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柴油抽水泵*1</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铆钉枪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执法记录仪*6</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编码器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车载启动电源</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摆式仪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高性能强光手电*12</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手持测温仪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卧式千斤顶</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高压核相器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排风机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交流耐压测试仪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高直角阻水板*30</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测振仪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救援软梯12米</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锥桶收放车</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便携式氧气瓶*12</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pe管对接热熔器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消防斧</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T型扳手套装</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应急帐篷</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老虎钳</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雨衣*50*2</w:t>
            </w:r>
            <w:r/>
          </w:p>
        </w:tc>
      </w:tr>
      <w:tr>
        <w:trPr>
          <w:trHeight w:val="503"/>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42</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剥线钳</w:t>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89</w:t>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雨鞋*50*2</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尖口钳</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90</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应急保温毯</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玻璃胶枪</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防滑链</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结构胶枪</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多功能救生哨*10</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羊角锤</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超细干粉灭火装置配件校验</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橡胶锤</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年度隧道等接地电阻检测（根据要求，每年进行一次检测）</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lang w:bidi="ar"/>
              </w:rPr>
            </w:pPr>
            <w:r>
              <w:rPr>
                <w:rFonts w:ascii="宋体" w:hAnsi="宋体" w:cs="宋体"/>
                <w:lang w:bidi="ar"/>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救援包*10</w:t>
            </w:r>
            <w:r/>
          </w:p>
        </w:tc>
      </w:tr>
    </w:tbl>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（2）江运快速路隧道及附属设施土建机电运维工具、设备</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bl>
      <w:tblPr>
        <w:tblStyle w:val="717"/>
        <w:tblW w:w="7407" w:type="dxa"/>
        <w:tblInd w:w="83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2735"/>
        <w:gridCol w:w="1110"/>
        <w:gridCol w:w="2550"/>
      </w:tblGrid>
      <w:tr>
        <w:trPr>
          <w:trHeight w:val="503"/>
        </w:trPr>
        <w:tc>
          <w:tcPr>
            <w:tcBorders>
              <w:top w:val="single" w:color="auto" w:sz="4" w:space="0"/>
              <w:left w:val="single" w:color="auto" w:sz="4" w:space="0"/>
              <w:bottom w:val="single" w:color="auto" w:sz="4"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73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55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名称</w:t>
            </w:r>
            <w:r/>
          </w:p>
        </w:tc>
      </w:tr>
      <w:tr>
        <w:trPr>
          <w:trHeight w:val="503"/>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验电器</w:t>
            </w:r>
            <w:r/>
          </w:p>
        </w:tc>
        <w:tc>
          <w:tcPr>
            <w:shd w:val="clear" w:color="auto" w:fill="auto"/>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48</w:t>
            </w:r>
            <w:r/>
          </w:p>
        </w:tc>
        <w:tc>
          <w:tcPr>
            <w:shd w:val="clear" w:color="auto" w:fill="auto"/>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八角锤</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照度仪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两用电焊机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摇表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打气筒</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电缆探测仪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智能测压电笔</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蓄电池检测仪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电络铁</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切割机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电圆锯</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电动注浆泵</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发泡枪</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空气检测仪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150件套筒扳手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电锤</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钢锯</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电钻</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钢卷尺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飞机钻</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割管刀</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风炮</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48寸重型管钳</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空压机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活动扳手套装</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风镐</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机油枪</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开槽机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内六角扳手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锚杆拉力计</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平板推车</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数字万用表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十字螺丝刀套装</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温湿度仪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一字螺丝刀套装</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激光测距仪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塑封机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角磨机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液压钳</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红外线水平仪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游标卡尺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钳形表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10kw发电机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网络寻线仪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高拍仪</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自吸泵</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工业吸尘器</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蓄电池充电器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对讲机*6</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手持电动鼓风机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喊话器*6</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热风机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灭火器*12</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黄油枪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救生圈*6</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气钉枪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雪铲*25</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断线钳</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柴油抽水泵*1</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铆钉枪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执法记录仪*6</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编码器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车载启动电源</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摆式仪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高性能强光手电*12</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手持测温仪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卧式千斤顶</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高压核相器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排风机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交流耐压测试仪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高直角阻水板*30</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测振仪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救援软梯12米</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锥桶收放车</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便携式氧气瓶*12</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pe管对接热熔器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消防斧</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T型扳手套装</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应急帐篷</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老虎钳</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雨衣*50*2</w:t>
            </w:r>
            <w:r/>
          </w:p>
        </w:tc>
      </w:tr>
      <w:tr>
        <w:trPr>
          <w:trHeight w:val="503"/>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42</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剥线钳</w:t>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89</w:t>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雨鞋*50*2</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尖口钳</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90</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应急保温毯</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玻璃胶枪</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防滑链</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结构胶枪</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多功能救生哨*10</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羊角锤</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超细干粉灭火装置配件校验</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橡胶锤</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年度隧道等接地电阻检测（根据要求，每年进行一次检测）</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lang w:bidi="ar"/>
              </w:rPr>
            </w:pPr>
            <w:r>
              <w:rPr>
                <w:rFonts w:ascii="宋体" w:hAnsi="宋体" w:cs="宋体"/>
                <w:lang w:bidi="ar"/>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救援包*10</w:t>
            </w:r>
            <w:r/>
          </w:p>
        </w:tc>
      </w:tr>
    </w:tbl>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注：各</w:t>
      </w:r>
      <w:r>
        <w:rPr>
          <w:rFonts w:hint="eastAsia" w:ascii="宋体" w:hAnsi="宋体"/>
          <w:sz w:val="24"/>
          <w:szCs w:val="24"/>
        </w:rPr>
        <w:t xml:space="preserve">隧道</w:t>
      </w:r>
      <w:r>
        <w:rPr>
          <w:rFonts w:hint="eastAsia" w:ascii="宋体" w:hAnsi="宋体" w:cs="宋体"/>
          <w:sz w:val="24"/>
          <w:szCs w:val="24"/>
        </w:rPr>
        <w:t xml:space="preserve">土建机电运维所需工具、设备以现场实际情况及采购人要求为准。</w:t>
      </w:r>
      <w:r>
        <w:rPr>
          <w:rFonts w:hint="eastAsia" w:ascii="宋体" w:hAnsi="宋体" w:cs="宋体"/>
          <w:sz w:val="24"/>
          <w:szCs w:val="24"/>
          <w:highlight w:val="green"/>
          <w:lang w:eastAsia="zh-CN"/>
        </w:rPr>
        <w:t xml:space="preserve">金湾快速路隧道、</w:t>
      </w:r>
      <w:r>
        <w:rPr>
          <w:rFonts w:hint="eastAsia" w:ascii="宋体" w:hAnsi="宋体"/>
          <w:sz w:val="24"/>
          <w:szCs w:val="24"/>
          <w:highlight w:val="green"/>
        </w:rPr>
        <w:t xml:space="preserve">经四路隧道</w:t>
      </w:r>
      <w:r>
        <w:rPr>
          <w:rFonts w:hint="eastAsia" w:ascii="宋体" w:hAnsi="宋体" w:cs="宋体"/>
          <w:sz w:val="24"/>
          <w:szCs w:val="24"/>
          <w:highlight w:val="green"/>
        </w:rPr>
        <w:t xml:space="preserve">运维工具、设备</w:t>
      </w:r>
      <w:r>
        <w:rPr>
          <w:rFonts w:hint="eastAsia" w:ascii="宋体" w:hAnsi="宋体"/>
          <w:sz w:val="24"/>
          <w:szCs w:val="24"/>
          <w:highlight w:val="green"/>
          <w:lang w:eastAsia="zh-CN"/>
        </w:rPr>
        <w:t xml:space="preserve">参考</w:t>
      </w:r>
      <w:r>
        <w:rPr>
          <w:rFonts w:hint="eastAsia" w:ascii="宋体" w:hAnsi="宋体" w:cs="宋体"/>
          <w:sz w:val="24"/>
          <w:szCs w:val="24"/>
          <w:highlight w:val="green"/>
        </w:rPr>
        <w:t xml:space="preserve">城南快速路隧道</w:t>
      </w:r>
      <w:r>
        <w:rPr>
          <w:rFonts w:hint="eastAsia" w:ascii="宋体" w:hAnsi="宋体" w:cs="宋体"/>
          <w:sz w:val="24"/>
          <w:szCs w:val="24"/>
          <w:highlight w:val="green"/>
          <w:lang w:eastAsia="zh-CN"/>
        </w:rPr>
        <w:t xml:space="preserve">、</w:t>
      </w:r>
      <w:r>
        <w:rPr>
          <w:rFonts w:hint="eastAsia" w:ascii="宋体" w:hAnsi="宋体" w:cs="宋体"/>
          <w:sz w:val="24"/>
          <w:szCs w:val="24"/>
          <w:highlight w:val="green"/>
        </w:rPr>
        <w:t xml:space="preserve">江运快速路隧道运维工具、设备</w:t>
      </w:r>
      <w:r>
        <w:rPr>
          <w:rFonts w:hint="eastAsia" w:ascii="宋体" w:hAnsi="宋体" w:cs="宋体"/>
          <w:sz w:val="24"/>
          <w:szCs w:val="24"/>
          <w:highlight w:val="green"/>
          <w:lang w:eastAsia="zh-CN"/>
        </w:rPr>
        <w:t xml:space="preserve">清单。</w:t>
      </w:r>
      <w:r>
        <w:rPr>
          <w:rFonts w:hint="eastAsia" w:ascii="宋体" w:hAnsi="宋体" w:cs="宋体"/>
          <w:sz w:val="24"/>
          <w:szCs w:val="24"/>
        </w:rPr>
        <w:t xml:space="preserve">按照各类机械设备、仪表仪器等使用方案、保养与维修措施、频次、时效承诺等要求，落实各类机械设备、仪表仪器等设施、设备日常检查与保养维护。</w:t>
      </w:r>
      <w:r/>
    </w:p>
    <w:p>
      <w:pPr>
        <w:pStyle w:val="708"/>
        <w:jc w:val="both"/>
        <w:spacing w:line="553"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4、运维材料（含但不限于）</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（1）城南快速路隧道及附属设施土建机电运维运维材料</w:t>
      </w:r>
      <w:r/>
    </w:p>
    <w:tbl>
      <w:tblPr>
        <w:tblStyle w:val="717"/>
        <w:tblW w:w="7948" w:type="dxa"/>
        <w:tblInd w:w="752" w:type="dxa"/>
        <w:tblLayout w:type="fixed"/>
        <w:tblCellMar>
          <w:left w:w="108" w:type="dxa"/>
          <w:top w:w="0" w:type="dxa"/>
          <w:right w:w="108" w:type="dxa"/>
          <w:bottom w:w="0" w:type="dxa"/>
        </w:tblCellMar>
        <w:tblLook w:val="04A0" w:firstRow="1" w:lastRow="0" w:firstColumn="1" w:lastColumn="0" w:noHBand="0" w:noVBand="1"/>
      </w:tblPr>
      <w:tblGrid>
        <w:gridCol w:w="690"/>
        <w:gridCol w:w="816"/>
        <w:gridCol w:w="2306"/>
        <w:gridCol w:w="1976"/>
        <w:gridCol w:w="1080"/>
        <w:gridCol w:w="1080"/>
      </w:tblGrid>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项目</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类别</w:t>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维修项目</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规格型号</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数量</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土建</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石材</w:t>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隧道侧墙大理石板</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600cm*900cm*20cm</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平方</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防火板</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2440*1220mm</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300</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五金金属材料</w:t>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液压闭门器</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静音缓冲式≥85kg</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防火门锁</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304不锈钢</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箱门锁</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弹跳式</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接水盒</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20cm</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铜芯电缆</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4mm²</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配电柜锁</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M90</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60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轮廓标</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双面反光</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化工材料</w:t>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稀料</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10L/桶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硅烷涂料</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20kg中灰色</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腻子粉</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24</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水泥</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32.5 50kg</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结构胶</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995中性硅酮</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120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玻璃胶</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300ml中性透明</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96</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沥青漆</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25kg环氧沥青防腐</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AB胶</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20kgA胶+20kgB胶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氟碳面层涂料</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灰色RAL7045 18L</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自喷漆</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350ml黑色</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自喷漆</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350ml红色</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油漆</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20kg箱门配色</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油漆</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20kg红色</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防火涂料</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堵漏材料</w:t>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堵漏王</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5kg速干型</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70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聚氨酯注浆液</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10kg油性</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聚氨酯注浆液</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10kg水性</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机电</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照明系统</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彩屏模板</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320*160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40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150W</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110W</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80W</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50W</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30W</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射灯</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9W</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电光标志</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设施图标</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日光灯管</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日光灯管</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24w</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供电系统</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交流接触器</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施耐德LC1D95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转换开关</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正泰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施耐德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配电柜指示灯</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红/黄/绿</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配电柜按钮</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红/黄/绿</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漏电保护器</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正泰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空气开关</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正泰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消防系统</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感烟探测器</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腾盛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输入输出模块</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腾盛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输入模块</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腾盛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消防手报</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腾盛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水成膜泡沫</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3%AAAF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点型红外火焰探测器</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隔离模块</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腾盛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火灾声光报警器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腾盛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智能手动报警按钮</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腾盛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消火栓启泵按钮</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腾盛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70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消防软管卷盘（25m）</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麻质水龙带（25m）</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DN65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液位仪</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西门子</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安全防护材料（含江运快速路隧道）</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肩灯</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通用led肩灯</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反光背心</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定制款</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安全帽</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ABS定制款</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安全绳（15米）</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安全带</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五点式</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锥桶</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70cm</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1500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防撞桶</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90cm</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反光贴</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箭头导向牌</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太阳能加厚款</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6</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爆闪灯</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太阳能</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12</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文字导向牌</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定制款</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8</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指挥棒</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led充电款</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绝缘靴</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20kv</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带电作业绝缘手套1型</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380mm</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线手套</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1200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丁腈手套</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600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加绒手套</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过滤式呼吸面罩</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3M</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下水裤</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安全围栏</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1.2*2.5</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12</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作业服</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100</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脚手架</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1.7*1.8*0.95/1.8厚</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防滑鞋</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消防沙</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吨</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防汛沙袋</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5kg</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1000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其他材料费</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bl>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（2）江运快速路隧道及附属设施土建机电运维材料</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bl>
      <w:tblPr>
        <w:tblStyle w:val="717"/>
        <w:tblW w:w="7915" w:type="dxa"/>
        <w:tblInd w:w="787" w:type="dxa"/>
        <w:tblLayout w:type="fixed"/>
        <w:tblCellMar>
          <w:left w:w="108" w:type="dxa"/>
          <w:top w:w="0" w:type="dxa"/>
          <w:right w:w="108" w:type="dxa"/>
          <w:bottom w:w="0" w:type="dxa"/>
        </w:tblCellMar>
        <w:tblLook w:val="04A0" w:firstRow="1" w:lastRow="0" w:firstColumn="1" w:lastColumn="0" w:noHBand="0" w:noVBand="1"/>
      </w:tblPr>
      <w:tblGrid>
        <w:gridCol w:w="700"/>
        <w:gridCol w:w="875"/>
        <w:gridCol w:w="2355"/>
        <w:gridCol w:w="1840"/>
        <w:gridCol w:w="1065"/>
        <w:gridCol w:w="1080"/>
      </w:tblGrid>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项目</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类别</w:t>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维修项目</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规格型号</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数量</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土建</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石材</w:t>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隧道侧墙大理石板</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600cm*900cm*20cm</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平方</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防火板</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2440*1220mm</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五金金属材料</w:t>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液压闭门器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静音缓冲式≥85kg</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防火门锁</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304不锈钢</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箱门锁</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弹跳式</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接水盒</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20cm</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铜芯电缆</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4mm²</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配电柜锁</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M90</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60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轮廓标</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双面反光</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化工材料</w:t>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稀料</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10L/桶</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硅烷涂料</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20kg中灰色</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腻子粉</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24</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水泥</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32.5 50kg</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结构胶</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995中性硅酮</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120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玻璃胶</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300ml中性透明</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96</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沥青漆</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25kg环氧沥青防腐</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AB胶</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20kgA胶+20kgB胶</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氟碳面层涂料</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灰色RAL7045 18L</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79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自喷漆</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350ml黑色</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63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自喷漆</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350ml红色</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70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油漆</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20kg箱门配色</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油漆</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20kg红色</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防火涂料</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堵漏材料</w:t>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堵漏王</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5kg速干型</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70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聚氨酯注浆液</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10kg油性</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聚氨酯注浆液</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10kg水性</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机电</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照明系统</w:t>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彩屏模板</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320*160</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40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150W</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110W</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80W</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50W</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30W</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射灯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9W</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电光标志</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设施图标</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日光灯管</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36w</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日光灯管</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24w</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投光灯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DC24V 24W 3000K 10° IP65,畅通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投光灯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DC24V 24W 3000K 30° IP65,畅通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投光灯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DC24V 36W 3000K 30° IP65,畅通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12</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投光灯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DC24V 12W3000K 30° IP65,畅通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供电系统</w:t>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交流接触器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施耐德LC1D95</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转换开关</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正泰</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继电器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施耐德</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配电柜指示灯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红/黄/绿</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配电柜按钮</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红/黄/绿</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漏电保护器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正泰</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空气开关</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正泰</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晶硅太阳能电池组件</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640W/2172*1303*33,阿特斯</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12</w:t>
            </w:r>
            <w:r/>
          </w:p>
        </w:tc>
      </w:tr>
      <w:tr>
        <w:trPr>
          <w:trHeight w:val="81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碲化镉定制组件</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6TP+1.14PVB+3.2碲华镉+1.14PVB+6TP+12A+6TP+1.14PVB 20%透光</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片</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4</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消防系统</w:t>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感烟探测器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海湾</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输入输出模块</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海湾</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输入模块</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海湾</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消防手报</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海湾</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水成膜泡沫</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3%AAAF</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点型红外火焰探测器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双频</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隔离模块</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海湾</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火灾声光报警器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海湾</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智能手动报警按钮</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海湾</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感烟火灾探测器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智新泛江,JTY-GD-C30</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感温火灾探测器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智新泛江,JTW-ZD-C20</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可燃气体探测器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智新泛江,JT-BM-926T</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火灾声光警报器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智新泛江,SG-C92</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消火栓启泵按钮</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海湾</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灭火器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5kg</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具</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70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消防软管卷盘（25m）</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麻质水龙带（25m）</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DN65</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non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空气质量监测传感器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LT-CG-S/T,LTWY</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non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液位仪</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西门子</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bl>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注：各</w:t>
      </w:r>
      <w:r>
        <w:rPr>
          <w:rFonts w:hint="eastAsia" w:ascii="宋体" w:hAnsi="宋体"/>
          <w:sz w:val="24"/>
          <w:szCs w:val="24"/>
        </w:rPr>
        <w:t xml:space="preserve">隧道</w:t>
      </w:r>
      <w:r>
        <w:rPr>
          <w:rFonts w:hint="eastAsia" w:ascii="宋体" w:hAnsi="宋体" w:cs="宋体"/>
          <w:sz w:val="24"/>
          <w:szCs w:val="24"/>
        </w:rPr>
        <w:t xml:space="preserve">土建机电运维材料以现场实际情况及采购人要求为准。</w:t>
      </w:r>
      <w:r>
        <w:rPr>
          <w:rFonts w:hint="eastAsia" w:ascii="宋体" w:hAnsi="宋体" w:cs="宋体"/>
          <w:sz w:val="24"/>
          <w:szCs w:val="24"/>
          <w:highlight w:val="green"/>
          <w:lang w:eastAsia="zh-CN"/>
        </w:rPr>
        <w:t xml:space="preserve">金湾快速路隧道、</w:t>
      </w:r>
      <w:r>
        <w:rPr>
          <w:rFonts w:hint="eastAsia" w:ascii="宋体" w:hAnsi="宋体"/>
          <w:sz w:val="24"/>
          <w:szCs w:val="24"/>
          <w:highlight w:val="green"/>
        </w:rPr>
        <w:t xml:space="preserve">经四路隧道</w:t>
      </w:r>
      <w:r>
        <w:rPr>
          <w:rFonts w:hint="eastAsia" w:ascii="宋体" w:hAnsi="宋体" w:cs="宋体"/>
          <w:sz w:val="24"/>
          <w:szCs w:val="24"/>
          <w:highlight w:val="green"/>
        </w:rPr>
        <w:t xml:space="preserve">运维</w:t>
      </w:r>
      <w:r>
        <w:rPr>
          <w:rFonts w:hint="eastAsia" w:ascii="宋体" w:hAnsi="宋体" w:cs="宋体"/>
          <w:sz w:val="24"/>
          <w:szCs w:val="24"/>
          <w:highlight w:val="green"/>
          <w:lang w:eastAsia="zh-CN"/>
        </w:rPr>
        <w:t xml:space="preserve">材料</w:t>
      </w:r>
      <w:r>
        <w:rPr>
          <w:rFonts w:hint="eastAsia" w:ascii="宋体" w:hAnsi="宋体"/>
          <w:sz w:val="24"/>
          <w:szCs w:val="24"/>
          <w:highlight w:val="green"/>
          <w:lang w:eastAsia="zh-CN"/>
        </w:rPr>
        <w:t xml:space="preserve">参考</w:t>
      </w:r>
      <w:r>
        <w:rPr>
          <w:rFonts w:hint="eastAsia" w:ascii="宋体" w:hAnsi="宋体" w:cs="宋体"/>
          <w:sz w:val="24"/>
          <w:szCs w:val="24"/>
          <w:highlight w:val="green"/>
        </w:rPr>
        <w:t xml:space="preserve">城南快速路隧道</w:t>
      </w:r>
      <w:r>
        <w:rPr>
          <w:rFonts w:hint="eastAsia" w:ascii="宋体" w:hAnsi="宋体" w:cs="宋体"/>
          <w:sz w:val="24"/>
          <w:szCs w:val="24"/>
          <w:highlight w:val="green"/>
          <w:lang w:eastAsia="zh-CN"/>
        </w:rPr>
        <w:t xml:space="preserve">、</w:t>
      </w:r>
      <w:r>
        <w:rPr>
          <w:rFonts w:hint="eastAsia" w:ascii="宋体" w:hAnsi="宋体" w:cs="宋体"/>
          <w:sz w:val="24"/>
          <w:szCs w:val="24"/>
          <w:highlight w:val="green"/>
        </w:rPr>
        <w:t xml:space="preserve">江运快速路隧道</w:t>
      </w:r>
      <w:r>
        <w:rPr>
          <w:rFonts w:hint="eastAsia" w:ascii="宋体" w:hAnsi="宋体" w:cs="宋体"/>
          <w:sz w:val="24"/>
          <w:szCs w:val="24"/>
          <w:highlight w:val="green"/>
          <w:lang w:eastAsia="zh-CN"/>
        </w:rPr>
        <w:t xml:space="preserve">材料清单。</w:t>
      </w:r>
      <w:r/>
    </w:p>
    <w:p>
      <w:pPr>
        <w:pStyle w:val="708"/>
        <w:jc w:val="both"/>
        <w:spacing w:line="553" w:lineRule="atLeast"/>
        <w:rPr>
          <w:rFonts w:ascii="宋体" w:hAnsi="宋体" w:eastAsia="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、运维车辆（含但不限于）</w:t>
      </w:r>
      <w:r/>
    </w:p>
    <w:p>
      <w:pPr>
        <w:rPr>
          <w:rFonts w:ascii="宋体" w:hAnsi="宋体" w:cs="宋体"/>
          <w:b/>
          <w:sz w:val="24"/>
          <w:szCs w:val="24"/>
        </w:rPr>
      </w:pPr>
      <w:r>
        <w:rPr>
          <w:rFonts w:ascii="宋体" w:hAnsi="宋体" w:cs="宋体"/>
          <w:b/>
          <w:sz w:val="24"/>
          <w:szCs w:val="24"/>
        </w:rPr>
      </w:r>
      <w:r/>
    </w:p>
    <w:tbl>
      <w:tblPr>
        <w:tblStyle w:val="717"/>
        <w:tblW w:w="5890" w:type="dxa"/>
        <w:tblInd w:w="193" w:type="dxa"/>
        <w:tblLayout w:type="fixed"/>
        <w:tblCellMar>
          <w:left w:w="15" w:type="dxa"/>
          <w:top w:w="15" w:type="dxa"/>
          <w:right w:w="15" w:type="dxa"/>
          <w:bottom w:w="15" w:type="dxa"/>
        </w:tblCellMar>
        <w:tblLook w:val="04A0" w:firstRow="1" w:lastRow="0" w:firstColumn="1" w:lastColumn="0" w:noHBand="0" w:noVBand="1"/>
      </w:tblPr>
      <w:tblGrid>
        <w:gridCol w:w="998"/>
        <w:gridCol w:w="3027"/>
        <w:gridCol w:w="1865"/>
      </w:tblGrid>
      <w:tr>
        <w:trPr>
          <w:trHeight w:val="479"/>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pPr>
            <w:r>
              <w:t xml:space="preserve">序号</w:t>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pPr>
            <w:r>
              <w:rPr>
                <w:rFonts w:hint="eastAsia"/>
              </w:rPr>
              <w:t xml:space="preserve">类型</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center"/>
            </w:pPr>
            <w:r>
              <w:t xml:space="preserve">数量</w:t>
            </w:r>
            <w:r/>
          </w:p>
        </w:tc>
      </w:tr>
      <w:tr>
        <w:trPr>
          <w:trHeight w:val="449"/>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pPr>
            <w:r>
              <w:rPr>
                <w:rFonts w:hint="eastAsia"/>
              </w:rPr>
              <w:t xml:space="preserve">巡视车</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center"/>
            </w:pPr>
            <w:r>
              <w:rPr>
                <w:rFonts w:hint="eastAsia"/>
              </w:rPr>
              <w:t xml:space="preserve">4</w:t>
            </w:r>
            <w:r/>
          </w:p>
        </w:tc>
      </w:tr>
      <w:tr>
        <w:trPr>
          <w:trHeight w:val="433"/>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pPr>
            <w:r>
              <w:t xml:space="preserve">2</w:t>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pPr>
            <w:r>
              <w:rPr>
                <w:rFonts w:hint="eastAsia"/>
              </w:rPr>
              <w:t xml:space="preserve">中轻卡</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center"/>
            </w:pPr>
            <w:r>
              <w:rPr>
                <w:rFonts w:hint="eastAsia"/>
              </w:rPr>
              <w:t xml:space="preserve">3</w:t>
            </w:r>
            <w:r/>
          </w:p>
        </w:tc>
      </w:tr>
      <w:tr>
        <w:trPr>
          <w:trHeight w:val="433"/>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pPr>
            <w:r>
              <w:t xml:space="preserve">3</w:t>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pPr>
            <w:r>
              <w:rPr>
                <w:rFonts w:hint="eastAsia"/>
              </w:rPr>
              <w:t xml:space="preserve">登高车</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center"/>
            </w:pPr>
            <w:r>
              <w:rPr>
                <w:rFonts w:hint="eastAsia"/>
              </w:rPr>
              <w:t xml:space="preserve">3</w:t>
            </w:r>
            <w:r/>
          </w:p>
        </w:tc>
      </w:tr>
      <w:tr>
        <w:trPr>
          <w:trHeight w:val="418"/>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pPr>
            <w:r>
              <w:rPr>
                <w:rFonts w:hint="eastAsia"/>
              </w:rPr>
              <w:t xml:space="preserve">高压清洗车</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center"/>
            </w:pPr>
            <w:r>
              <w:rPr>
                <w:rFonts w:hint="eastAsia"/>
              </w:rPr>
              <w:t xml:space="preserve">2</w:t>
            </w:r>
            <w:r/>
          </w:p>
        </w:tc>
      </w:tr>
      <w:tr>
        <w:trPr>
          <w:trHeight w:val="403"/>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pPr>
            <w:r>
              <w:rPr>
                <w:rFonts w:hint="eastAsia"/>
              </w:rPr>
              <w:t xml:space="preserve">防撞车</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center"/>
            </w:pPr>
            <w:r>
              <w:rPr>
                <w:rFonts w:hint="eastAsia"/>
              </w:rPr>
              <w:t xml:space="preserve">2</w:t>
            </w:r>
            <w:r/>
          </w:p>
        </w:tc>
      </w:tr>
      <w:tr>
        <w:trPr>
          <w:trHeight w:val="388"/>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pPr>
            <w:r>
              <w:rPr>
                <w:rFonts w:hint="eastAsia"/>
              </w:rPr>
              <w:t xml:space="preserve">撒布机</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center"/>
            </w:pPr>
            <w:r>
              <w:rPr>
                <w:rFonts w:hint="eastAsia"/>
              </w:rPr>
              <w:t xml:space="preserve">2</w:t>
            </w:r>
            <w:r/>
          </w:p>
        </w:tc>
      </w:tr>
    </w:tbl>
    <w:p>
      <w:pPr>
        <w:ind w:firstLine="420"/>
        <w:spacing w:line="360" w:lineRule="auto"/>
        <w:rPr>
          <w:rFonts w:ascii="宋体" w:hAnsi="宋体"/>
          <w:i/>
          <w:u w:val="single"/>
        </w:rPr>
      </w:pPr>
      <w:r>
        <w:rPr>
          <w:rFonts w:ascii="宋体" w:hAnsi="宋体"/>
          <w:i/>
          <w:u w:val="single"/>
        </w:rPr>
      </w:r>
      <w:r/>
    </w:p>
    <w:p>
      <w:pPr>
        <w:ind w:firstLine="480"/>
        <w:spacing w:line="360" w:lineRule="auto"/>
        <w:rPr>
          <w:rFonts w:ascii="宋体" w:hAnsi="宋体"/>
          <w:i/>
          <w:sz w:val="24"/>
          <w:szCs w:val="24"/>
          <w:highlight w:val="green"/>
          <w:u w:val="single"/>
        </w:rPr>
      </w:pPr>
      <w:r>
        <w:rPr>
          <w:rFonts w:hint="eastAsia" w:ascii="宋体" w:hAnsi="宋体"/>
          <w:i/>
          <w:sz w:val="24"/>
          <w:szCs w:val="24"/>
          <w:highlight w:val="green"/>
          <w:u w:val="single"/>
        </w:rPr>
        <w:t xml:space="preserve">投标人需配备隧道巡视车4台、中轻卡3台、登高车3台、高压清洗车2台（总质量不低于18000Kg）、防撞车2台(车辆总质量不低于12000KG、防撞垫吸能量不低于100KJ)、融雪剂撒布机2台（容积不少于3m³）。投标人提供的作业车辆、设备可自有、可租赁。车辆、设备如自有，须提供车辆行驶证及设备购置发票，原件扫描上传；</w:t>
      </w:r>
      <w:r>
        <w:rPr>
          <w:rFonts w:hint="eastAsia" w:ascii="宋体" w:hAnsi="宋体"/>
          <w:i/>
          <w:sz w:val="24"/>
          <w:szCs w:val="24"/>
          <w:highlight w:val="green"/>
          <w:u w:val="single"/>
          <w:lang w:eastAsia="zh-CN"/>
        </w:rPr>
        <w:t xml:space="preserve">如</w:t>
      </w:r>
      <w:r>
        <w:rPr>
          <w:rFonts w:hint="eastAsia" w:ascii="宋体" w:hAnsi="宋体"/>
          <w:i/>
          <w:sz w:val="24"/>
          <w:szCs w:val="24"/>
          <w:highlight w:val="green"/>
          <w:u w:val="single"/>
        </w:rPr>
        <w:t xml:space="preserve">租赁车辆须提供租赁</w:t>
      </w:r>
      <w:r>
        <w:rPr>
          <w:rFonts w:hint="eastAsia" w:ascii="宋体" w:hAnsi="宋体"/>
          <w:i/>
          <w:sz w:val="24"/>
          <w:szCs w:val="24"/>
          <w:highlight w:val="green"/>
          <w:u w:val="single"/>
          <w:lang w:eastAsia="zh-CN"/>
        </w:rPr>
        <w:t xml:space="preserve">意向</w:t>
      </w:r>
      <w:r>
        <w:rPr>
          <w:rFonts w:hint="eastAsia" w:ascii="宋体" w:hAnsi="宋体"/>
          <w:i/>
          <w:sz w:val="24"/>
          <w:szCs w:val="24"/>
          <w:highlight w:val="green"/>
          <w:u w:val="single"/>
        </w:rPr>
        <w:t xml:space="preserve">协议及车辆行驶证（车辆行驶证应与租赁协议相符），</w:t>
      </w:r>
      <w:r>
        <w:rPr>
          <w:rFonts w:hint="eastAsia" w:ascii="宋体" w:hAnsi="宋体"/>
          <w:i/>
          <w:sz w:val="24"/>
          <w:szCs w:val="24"/>
          <w:highlight w:val="green"/>
          <w:u w:val="single"/>
          <w:lang w:eastAsia="zh-CN"/>
        </w:rPr>
        <w:t xml:space="preserve">原件</w:t>
      </w:r>
      <w:r>
        <w:rPr>
          <w:rFonts w:hint="eastAsia" w:ascii="宋体" w:hAnsi="宋体"/>
          <w:i/>
          <w:sz w:val="24"/>
          <w:szCs w:val="24"/>
          <w:highlight w:val="green"/>
          <w:u w:val="single"/>
        </w:rPr>
        <w:t xml:space="preserve">扫描上传。</w:t>
      </w:r>
      <w:r/>
    </w:p>
    <w:p>
      <w:pPr>
        <w:rPr>
          <w:rFonts w:ascii="宋体" w:hAnsi="宋体" w:cs="宋体"/>
          <w:b/>
          <w:sz w:val="24"/>
          <w:szCs w:val="24"/>
        </w:rPr>
      </w:pPr>
      <w:r>
        <w:rPr>
          <w:rFonts w:ascii="宋体" w:hAnsi="宋体" w:cs="宋体"/>
          <w:b/>
          <w:sz w:val="24"/>
          <w:szCs w:val="24"/>
        </w:rPr>
      </w:r>
      <w:r/>
    </w:p>
    <w:p>
      <w:pPr>
        <w:rPr>
          <w:rFonts w:ascii="宋体" w:hAnsi="宋体" w:cs="宋体"/>
          <w:b/>
          <w:sz w:val="24"/>
          <w:szCs w:val="24"/>
        </w:rPr>
      </w:pPr>
      <w:r>
        <w:rPr>
          <w:rFonts w:ascii="宋体" w:hAnsi="宋体" w:cs="宋体"/>
          <w:b/>
          <w:sz w:val="24"/>
          <w:szCs w:val="24"/>
        </w:rPr>
      </w:r>
      <w:r/>
    </w:p>
    <w:p>
      <w:pPr>
        <w:rPr>
          <w:rFonts w:ascii="宋体" w:hAnsi="宋体" w:cs="宋体"/>
          <w:b/>
          <w:sz w:val="24"/>
          <w:szCs w:val="24"/>
        </w:rPr>
      </w:pPr>
      <w:r>
        <w:rPr>
          <w:rFonts w:ascii="宋体" w:hAnsi="宋体" w:cs="宋体"/>
          <w:b/>
          <w:sz w:val="24"/>
          <w:szCs w:val="24"/>
        </w:rPr>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pStyle w:val="707"/>
        <w:spacing w:before="340" w:after="330"/>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三、项目运维内容</w:t>
      </w:r>
      <w:r/>
    </w:p>
    <w:p>
      <w:pPr>
        <w:pStyle w:val="707"/>
        <w:rPr>
          <w:b/>
          <w:bCs/>
        </w:rPr>
      </w:pPr>
      <w:r>
        <w:rPr>
          <w:rFonts w:hint="eastAsia" w:ascii="宋体" w:hAnsi="宋体" w:eastAsia="宋体" w:cs="宋体"/>
          <w:b/>
          <w:bCs/>
          <w:sz w:val="24"/>
          <w:szCs w:val="24"/>
        </w:rPr>
        <w:t xml:space="preserve">1、隧道运维总体管理要求（包括但不限于）</w:t>
      </w:r>
      <w:r/>
    </w:p>
    <w:p>
      <w:pPr>
        <w:pStyle w:val="708"/>
        <w:ind w:firstLine="482"/>
        <w:rPr>
          <w:rFonts w:ascii="宋体" w:hAnsi="宋体" w:eastAsia="宋体" w:cs="宋体"/>
          <w:b w:val="0"/>
          <w:bCs w:val="0"/>
          <w:sz w:val="24"/>
          <w:szCs w:val="24"/>
        </w:rPr>
      </w:pPr>
      <w:r/>
      <w:bookmarkStart w:id="0" w:name="OLE_LINK1"/>
      <w:r>
        <w:rPr>
          <w:rFonts w:ascii="宋体" w:hAnsi="宋体" w:eastAsia="宋体" w:cs="宋体"/>
          <w:sz w:val="24"/>
          <w:szCs w:val="24"/>
        </w:rPr>
        <w:t xml:space="preserve">1.1</w:t>
      </w:r>
      <w:r>
        <w:rPr>
          <w:rFonts w:hint="eastAsia" w:ascii="宋体" w:hAnsi="宋体" w:eastAsia="宋体" w:cs="宋体"/>
          <w:sz w:val="24"/>
          <w:szCs w:val="24"/>
        </w:rPr>
        <w:t xml:space="preserve">隧道运维计划管理要求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1.1.1需根据《公路隧道养护技术规范》（JTG H12-2015）、《公路桥涵养护规范》(JTG H11-2018)、《城镇道路养护技术规范》（CJJ 36-2016）、《江苏省城市隧道建设、运行与维护指南（试行）》、机电有关养护规范或行业规范、采购人要求及运维实际工作需求，结合隧道信息化管理平台要求，编制并提交年、月、日运维计划，所有计划均需采购人审核批准后方可执行。</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（1）年度运维计划：</w:t>
      </w:r>
      <w:r>
        <w:rPr>
          <w:rFonts w:ascii="宋体" w:hAnsi="宋体" w:cs="宋体"/>
          <w:sz w:val="24"/>
          <w:szCs w:val="24"/>
        </w:rPr>
        <w:t xml:space="preserve">应</w:t>
      </w:r>
      <w:r>
        <w:rPr>
          <w:rFonts w:hint="eastAsia" w:ascii="宋体" w:hAnsi="宋体" w:cs="宋体"/>
          <w:sz w:val="24"/>
          <w:szCs w:val="24"/>
        </w:rPr>
        <w:t xml:space="preserve">根据采购人时间要求，通过信息化平台及时</w:t>
      </w:r>
      <w:r>
        <w:rPr>
          <w:rFonts w:ascii="宋体" w:hAnsi="宋体" w:cs="宋体"/>
          <w:sz w:val="24"/>
          <w:szCs w:val="24"/>
        </w:rPr>
        <w:t xml:space="preserve">提交</w:t>
      </w:r>
      <w:r>
        <w:rPr>
          <w:rFonts w:hint="eastAsia" w:ascii="宋体" w:hAnsi="宋体" w:cs="宋体"/>
          <w:sz w:val="24"/>
          <w:szCs w:val="24"/>
        </w:rPr>
        <w:t xml:space="preserve">新</w:t>
      </w:r>
      <w:r>
        <w:rPr>
          <w:rFonts w:ascii="宋体" w:hAnsi="宋体" w:cs="宋体"/>
          <w:sz w:val="24"/>
          <w:szCs w:val="24"/>
        </w:rPr>
        <w:t xml:space="preserve">一年度运维计划</w:t>
      </w:r>
      <w:r>
        <w:rPr>
          <w:rFonts w:hint="eastAsia" w:ascii="宋体" w:hAnsi="宋体" w:cs="宋体"/>
          <w:sz w:val="24"/>
          <w:szCs w:val="24"/>
        </w:rPr>
        <w:t xml:space="preserve">。</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rPr>
          <w:rFonts w:ascii="宋体" w:hAnsi="宋体" w:cs="宋体"/>
          <w:sz w:val="24"/>
          <w:szCs w:val="24"/>
        </w:rPr>
        <w:t xml:space="preserve">月度运维计划：每月</w:t>
      </w:r>
      <w:r>
        <w:rPr>
          <w:rFonts w:hint="eastAsia" w:ascii="宋体" w:hAnsi="宋体" w:cs="宋体"/>
          <w:sz w:val="24"/>
          <w:szCs w:val="24"/>
        </w:rPr>
        <w:t xml:space="preserve">25号前通过信息化平台</w:t>
      </w:r>
      <w:r>
        <w:rPr>
          <w:rFonts w:ascii="宋体" w:hAnsi="宋体" w:cs="宋体"/>
          <w:sz w:val="24"/>
          <w:szCs w:val="24"/>
        </w:rPr>
        <w:t xml:space="preserve">提交次月详细运维计划（含具体作业内容、时间安排、人员设备配置、安全措施等）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ascii="宋体" w:hAnsi="宋体" w:cs="宋体"/>
          <w:sz w:val="24"/>
          <w:szCs w:val="24"/>
        </w:rPr>
        <w:t xml:space="preserve">日工作计划：</w:t>
      </w:r>
      <w:r>
        <w:rPr>
          <w:rFonts w:hint="eastAsia" w:ascii="宋体" w:hAnsi="宋体" w:cs="宋体"/>
          <w:sz w:val="24"/>
          <w:szCs w:val="24"/>
        </w:rPr>
        <w:t xml:space="preserve">18点</w:t>
      </w:r>
      <w:r>
        <w:rPr>
          <w:rFonts w:ascii="宋体" w:hAnsi="宋体" w:cs="宋体"/>
          <w:sz w:val="24"/>
          <w:szCs w:val="24"/>
        </w:rPr>
        <w:t xml:space="preserve">前通过信息化平台提交</w:t>
      </w:r>
      <w:r>
        <w:rPr>
          <w:rFonts w:hint="eastAsia" w:ascii="宋体" w:hAnsi="宋体" w:cs="宋体"/>
          <w:sz w:val="24"/>
          <w:szCs w:val="24"/>
        </w:rPr>
        <w:t xml:space="preserve">每</w:t>
      </w:r>
      <w:r>
        <w:rPr>
          <w:rFonts w:ascii="宋体" w:hAnsi="宋体" w:cs="宋体"/>
          <w:sz w:val="24"/>
          <w:szCs w:val="24"/>
        </w:rPr>
        <w:t xml:space="preserve">日详细作业计划（含作业班组、作业区域、设备清单、风险防控措施等）</w:t>
      </w:r>
      <w:r>
        <w:rPr>
          <w:rFonts w:hint="eastAsia" w:ascii="宋体" w:hAnsi="宋体" w:cs="宋体"/>
          <w:sz w:val="24"/>
          <w:szCs w:val="24"/>
        </w:rPr>
        <w:t xml:space="preserve">。</w:t>
      </w:r>
      <w:r>
        <w:rPr>
          <w:rFonts w:ascii="宋体" w:hAnsi="宋体" w:cs="宋体"/>
          <w:sz w:val="24"/>
          <w:szCs w:val="24"/>
        </w:rPr>
        <w:t xml:space="preserve">涉及高风险作业的，应提前</w:t>
      </w:r>
      <w:r>
        <w:rPr>
          <w:rFonts w:hint="eastAsia" w:ascii="宋体" w:hAnsi="宋体" w:cs="宋体"/>
          <w:sz w:val="24"/>
          <w:szCs w:val="24"/>
        </w:rPr>
        <w:t xml:space="preserve">3</w:t>
      </w:r>
      <w:r>
        <w:rPr>
          <w:rFonts w:ascii="宋体" w:hAnsi="宋体" w:cs="宋体"/>
          <w:sz w:val="24"/>
          <w:szCs w:val="24"/>
        </w:rPr>
        <w:t xml:space="preserve">个工作日提交专项方案</w:t>
      </w:r>
      <w:r>
        <w:rPr>
          <w:rFonts w:hint="eastAsia" w:ascii="宋体" w:hAnsi="宋体" w:cs="宋体"/>
          <w:sz w:val="24"/>
          <w:szCs w:val="24"/>
        </w:rPr>
        <w:t xml:space="preserve">。</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ascii="宋体" w:hAnsi="宋体" w:cs="宋体"/>
          <w:sz w:val="24"/>
          <w:szCs w:val="24"/>
        </w:rPr>
        <w:t xml:space="preserve">计划调整：所有计划经采购人批准后原则上不得变更</w:t>
      </w:r>
      <w:r>
        <w:rPr>
          <w:rFonts w:hint="eastAsia" w:ascii="宋体" w:hAnsi="宋体" w:cs="宋体"/>
          <w:sz w:val="24"/>
          <w:szCs w:val="24"/>
        </w:rPr>
        <w:t xml:space="preserve">。</w:t>
      </w:r>
      <w:r>
        <w:rPr>
          <w:rFonts w:ascii="宋体" w:hAnsi="宋体" w:cs="宋体"/>
          <w:sz w:val="24"/>
          <w:szCs w:val="24"/>
        </w:rPr>
        <w:t xml:space="preserve">确需调整的，应</w:t>
      </w:r>
      <w:r>
        <w:rPr>
          <w:rFonts w:hint="eastAsia" w:ascii="宋体" w:hAnsi="宋体" w:cs="宋体"/>
          <w:sz w:val="24"/>
          <w:szCs w:val="24"/>
        </w:rPr>
        <w:t xml:space="preserve">获得采购人批准后方可实施。</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1.1.2中标人需在采购人申报下一年度财政预算前提交下一年度隧道运维所需备品备件清单（含规格型号、数量、预估单价、用途说明等）及大中修计划（含项目内容、技术方案、预算、工期等）。如未按时按要求上报，导致采购人预算申报延误或运维物资短缺，产生的后果由中标人自行承担。</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1.1.3中标人必须在合同签订后三日内，委派主要管理人员与采购人进行接触，进一步熟悉和了解现场情况，进行交接准备，且运维拟投入的人员、</w:t>
      </w:r>
      <w:r>
        <w:rPr>
          <w:rFonts w:hint="eastAsia" w:ascii="宋体" w:hAnsi="宋体" w:cs="宋体"/>
          <w:sz w:val="24"/>
          <w:szCs w:val="24"/>
          <w:lang w:eastAsia="zh-CN"/>
        </w:rPr>
        <w:t xml:space="preserve">车辆、</w:t>
      </w:r>
      <w:r>
        <w:rPr>
          <w:rFonts w:hint="eastAsia" w:ascii="宋体" w:hAnsi="宋体" w:cs="宋体"/>
          <w:sz w:val="24"/>
          <w:szCs w:val="24"/>
        </w:rPr>
        <w:t xml:space="preserve">设备必须在合同签订后15日内到位。</w:t>
      </w:r>
      <w:r/>
    </w:p>
    <w:p>
      <w:pPr>
        <w:ind w:firstLine="480"/>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1.1.4定期组织召开运维工作会议，做好运维周期内工作总结，通报存在的及协调需要解决的问题。</w:t>
      </w:r>
      <w:r/>
    </w:p>
    <w:p>
      <w:pPr>
        <w:ind w:firstLine="482"/>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cs="宋体"/>
          <w:b/>
          <w:bCs/>
          <w:sz w:val="24"/>
          <w:szCs w:val="24"/>
        </w:rPr>
      </w:r>
      <w:r/>
    </w:p>
    <w:p>
      <w:pPr>
        <w:pStyle w:val="708"/>
        <w:ind w:firstLine="482"/>
        <w:rPr>
          <w:rFonts w:ascii="宋体" w:hAnsi="宋体" w:eastAsia="宋体" w:cs="宋体"/>
          <w:b w:val="0"/>
          <w:bCs w:val="0"/>
          <w:sz w:val="24"/>
          <w:szCs w:val="24"/>
        </w:rPr>
      </w:pPr>
      <w:r>
        <w:rPr>
          <w:rFonts w:hint="eastAsia" w:ascii="宋体" w:hAnsi="宋体" w:eastAsia="宋体" w:cs="宋体"/>
          <w:sz w:val="24"/>
          <w:szCs w:val="24"/>
        </w:rPr>
        <w:t xml:space="preserve">1.2隧道运维资料档案管理要求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中标人应建立运维档案，并应符合下列规定：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1.2.1运维档案应包括但不限于以下内容：</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（1）基础技术档案：隧道竣工图纸、结构计算书、设备说明书等原始技术资料</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（2）运维过程档案：日常巡检记录、经常性检查记录、定期检查记录、</w:t>
      </w:r>
      <w:r>
        <w:rPr>
          <w:rFonts w:ascii="宋体" w:hAnsi="宋体" w:cs="宋体"/>
          <w:sz w:val="24"/>
          <w:szCs w:val="24"/>
        </w:rPr>
        <w:t xml:space="preserve">维修养护记录</w:t>
      </w:r>
      <w:r>
        <w:rPr>
          <w:rFonts w:hint="eastAsia" w:ascii="宋体" w:hAnsi="宋体" w:cs="宋体"/>
          <w:sz w:val="24"/>
          <w:szCs w:val="24"/>
        </w:rPr>
        <w:t xml:space="preserve">、应急处理记录、检测报告等。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（3）专项管理档案：隧道内敷设管线资料（管线分布图、维护记录）；设备设施台账（含生命周期管理记录）；重大工程改造技术文件</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1.2.2运维档案管理工作实行电子化、数据化、利用信息化技术建立信息管理系统、数据库。检查维修记录应真实反映设施设备运行情况、故障情况、维修情况、保养内容等，定期交与业主归档，以建立专门的技术档案。</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1.2.3中标人在运维过程中需做好相关技术、安全等资料归纳建档，采购人可随时抽查并作为考核重要依据。在合同完成前，中标人有义务配合采购人做好资料移交工作。</w:t>
      </w:r>
      <w:r/>
    </w:p>
    <w:p>
      <w:pPr>
        <w:ind w:firstLine="482"/>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cs="宋体"/>
          <w:b/>
          <w:bCs/>
          <w:sz w:val="24"/>
          <w:szCs w:val="24"/>
        </w:rPr>
      </w:r>
      <w:r/>
    </w:p>
    <w:p>
      <w:pPr>
        <w:pStyle w:val="708"/>
        <w:ind w:firstLine="482"/>
        <w:rPr>
          <w:rFonts w:ascii="宋体" w:hAnsi="宋体" w:eastAsia="宋体" w:cs="宋体"/>
          <w:b w:val="0"/>
          <w:bCs w:val="0"/>
          <w:sz w:val="24"/>
          <w:szCs w:val="24"/>
        </w:rPr>
      </w:pPr>
      <w:r>
        <w:rPr>
          <w:rFonts w:hint="eastAsia" w:ascii="宋体" w:hAnsi="宋体" w:eastAsia="宋体" w:cs="宋体"/>
          <w:sz w:val="24"/>
          <w:szCs w:val="24"/>
        </w:rPr>
        <w:t xml:space="preserve">1.3隧道运维人员管理要求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1.3.1运维期间项目经理不得随意更换，并且项目经理证书交由采购人保管，直至运维期结束。若出现特殊情况需要更换项目经理，必须向采购人提出申请，经同意后才可更换项目经理，所更换的项目经理必须与原先项目经理具备同等资格的项目经理等级，同时提交中标人近三个月内任意一个月有效社保证明，未经同意擅自更换的在当月运维费中一次性扣除运维费20万元整，并责令限期整改，同时追究相关责任。</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1.3.2 运维期间技术负责人、土建工程师、机电工程师不得随意更换。若出现特殊情况需要更换技术负责人、工程师，必须向采购人提出申请，经同意后才可更换技术负责人、工程师，所更换的技术负责人、工程师必须与原先人员具备同等资格，同时提交中标人近三个月内任意一个月有效社保证明，未经同意擅自更换的在当月运维费中一次性扣除运维费10万元整，并责令限期整改，同时追究相关责任。</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1.3.3运维人员须符合招标文件人员岗位要求人员所需条件，一旦发现人员不符合岗位要求，采购人有权要求中标人责令限期整改，同时追究相关责任。</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1.3.4</w:t>
      </w:r>
      <w:r>
        <w:rPr>
          <w:rFonts w:hint="eastAsia" w:ascii="宋体" w:hAnsi="宋体" w:cs="宋体"/>
          <w:b/>
          <w:bCs/>
          <w:i/>
          <w:iCs/>
          <w:sz w:val="24"/>
          <w:szCs w:val="24"/>
          <w:u w:val="single"/>
        </w:rPr>
        <w:t xml:space="preserve">由于隧道运维工作的特殊性，要求中标人人员年龄须不超过55周岁，且45周岁以下的基层作业人员要半数以上，特殊作业人员年龄符合国家相关规定。（承诺书自拟，原件扫描上传）。</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1.3.5项目经理、技术负责人、土建工程师、机电工程师等管理人员在合同期内须保证在岗在职时间。管理人员需请假应书面得到采购人同意才能离开，并且需保证工作连续性，同一时间段请假人数不得超过管理人员总人数的20%。特殊时期（如防汛、重大活动保障等执行24小时值班制度时）所有人员原则上不得请假。</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1.3.6中标人除配备各专业有经验的工程师外，须配备专职安全负责人负责隧道运维的安全管理，包括人员的入职安全培训、日常安全培训、安全作业指导、安全作业检查，组织每月和专项安全检查等工作。</w:t>
      </w:r>
      <w:r/>
    </w:p>
    <w:p>
      <w:pPr>
        <w:ind w:firstLine="480"/>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1.3.7中标人必须为参与本项目的企业员工购买意外伤害险并</w:t>
      </w:r>
      <w:r>
        <w:rPr>
          <w:rFonts w:hint="eastAsia" w:ascii="宋体" w:hAnsi="宋体" w:cs="宋体"/>
          <w:sz w:val="24"/>
          <w:szCs w:val="24"/>
          <w:lang w:val="en-US" w:eastAsia="zh-CN"/>
        </w:rPr>
        <w:t xml:space="preserve">缴</w:t>
      </w:r>
      <w:r>
        <w:rPr>
          <w:rFonts w:hint="eastAsia" w:ascii="宋体" w:hAnsi="宋体" w:cs="宋体"/>
          <w:sz w:val="24"/>
          <w:szCs w:val="24"/>
        </w:rPr>
        <w:t xml:space="preserve">纳社保，不得非法用工。</w:t>
      </w:r>
      <w:r/>
    </w:p>
    <w:p>
      <w:pPr>
        <w:pStyle w:val="708"/>
        <w:ind w:firstLine="482"/>
        <w:rPr>
          <w:rFonts w:ascii="宋体" w:hAnsi="宋体" w:eastAsia="宋体" w:cs="宋体"/>
          <w:b w:val="0"/>
          <w:bCs w:val="0"/>
          <w:sz w:val="24"/>
          <w:szCs w:val="24"/>
        </w:rPr>
      </w:pPr>
      <w:r>
        <w:rPr>
          <w:rFonts w:hint="eastAsia" w:ascii="宋体" w:hAnsi="宋体" w:eastAsia="宋体" w:cs="宋体"/>
          <w:sz w:val="24"/>
          <w:szCs w:val="24"/>
        </w:rPr>
        <w:t xml:space="preserve">1.4隧道运维设施设备、机械设备、物资管理要求</w:t>
      </w:r>
      <w:r/>
    </w:p>
    <w:p>
      <w:pPr>
        <w:ind w:firstLine="482"/>
        <w:rPr>
          <w:rFonts w:ascii="宋体" w:hAnsi="宋体" w:cs="宋体"/>
          <w:i/>
          <w:iCs/>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 w:val="24"/>
          <w:szCs w:val="24"/>
          <w:u w:val="single"/>
        </w:rPr>
        <w:t xml:space="preserve">中标人必须根据运维工作需要配备相应的运维机械、设备，以保证运维工作正常开展。运维机械、设备使用、日常保养、维护由中标人负责，务必保证机械、设备完好，如因保养、维护等原因不能进行当日运维，中标人最迟于次日，调以同等使用性能的机械、设备进场作业，否则每超过一天，扣款1000元，影响运维工作的，同时按运维考核条例处理。（承诺书自拟，原件扫描上传）</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1.4.1运维维修中使用的原材料、成品、半成品等必须合格，并且符合原设计、规范要求，同时需与原设施配套。隧道运维作业应不断提高技术装备率和动力装备率，隧道运维维修应贯彻国家的技术经济政策，积极而谨慎地采用新技术、新材料、新设备、新工艺，使运维维修达到安全实用，质量可靠、经济合理，技术先进、节能减排、绿色环保的要求，实现全生命周期绿色管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1.4.2运维范围内的所有设备设施，应按国家、行业规定的要求进行定期的检测，费用包含于报价内；运维作业中使用的工具、设备必须具备国家3C认证，且仪表工具需进行年度校验。</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1.4.3运维范围内的设备设施运维要求不得低于《公路隧道养护技术规范》（JTG H12-2015）、《公路桥涵养护规范》(JTG H11-2018)、《城镇道路养护技术规范》（CJJ 36-2016）、《江苏省城市隧道建设、运行与维护指南（试行）》、机电有关养护规范或行业规范等相关内容要求。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1.4.4运维过程中做好施工单位质保工作的监督并详细记录，发现问题及时上报采购人。</w:t>
      </w:r>
      <w:r/>
    </w:p>
    <w:p>
      <w:pPr>
        <w:ind w:firstLine="480"/>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1.4.5外来施工单位进入采购人管辖区域内作业时，中标人需进行跟踪督查，如需更换维修相关设施设备必须上报专项方案进行审批后方可实施。</w:t>
      </w:r>
      <w:r/>
    </w:p>
    <w:p>
      <w:pPr>
        <w:ind w:firstLine="482"/>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cs="宋体"/>
          <w:b/>
          <w:bCs/>
          <w:sz w:val="24"/>
          <w:szCs w:val="24"/>
        </w:rPr>
      </w:r>
      <w:r/>
    </w:p>
    <w:p>
      <w:pPr>
        <w:pStyle w:val="708"/>
        <w:ind w:firstLine="482"/>
        <w:jc w:val="center"/>
        <w:rPr>
          <w:rFonts w:ascii="宋体" w:hAnsi="宋体" w:eastAsia="宋体" w:cs="宋体"/>
          <w:b w:val="0"/>
          <w:bCs w:val="0"/>
          <w:sz w:val="24"/>
          <w:szCs w:val="24"/>
        </w:rPr>
      </w:pPr>
      <w:r>
        <w:rPr>
          <w:rFonts w:hint="eastAsia" w:ascii="宋体" w:hAnsi="宋体" w:eastAsia="宋体" w:cs="宋体"/>
          <w:sz w:val="24"/>
          <w:szCs w:val="24"/>
        </w:rPr>
        <w:t xml:space="preserve">1.5隧道运维后勤管理要求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1.5.1采购人提供管理人员的基本办公用房、24小时值班值守和应急抢险人员休息用房， 相关办公桌椅、办公用品、更衣柜、电脑、电话、网络等由中标人自行考虑。</w:t>
      </w:r>
      <w:r/>
    </w:p>
    <w:p>
      <w:pPr>
        <w:ind w:firstLine="480"/>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1.5.2办公场所需遵循《公共场所卫生管理条例》，中标人须</w:t>
      </w:r>
      <w:r>
        <w:rPr>
          <w:rFonts w:ascii="宋体" w:hAnsi="宋体" w:cs="宋体"/>
          <w:sz w:val="24"/>
          <w:szCs w:val="24"/>
        </w:rPr>
        <w:t xml:space="preserve">明确责任卫生管理人员，制定清洁消毒计划并记录执行情况</w:t>
      </w:r>
      <w:r>
        <w:rPr>
          <w:rFonts w:hint="eastAsia" w:ascii="宋体" w:hAnsi="宋体" w:cs="宋体"/>
          <w:sz w:val="24"/>
          <w:szCs w:val="24"/>
        </w:rPr>
        <w:t xml:space="preserve">，</w:t>
      </w:r>
      <w:r>
        <w:rPr>
          <w:rFonts w:ascii="宋体" w:hAnsi="宋体" w:cs="宋体"/>
          <w:sz w:val="24"/>
          <w:szCs w:val="24"/>
        </w:rPr>
        <w:t xml:space="preserve">定期开展卫生培训，提升员工意识</w:t>
      </w:r>
      <w:r>
        <w:rPr>
          <w:rFonts w:hint="eastAsia" w:ascii="宋体" w:hAnsi="宋体" w:cs="宋体"/>
          <w:sz w:val="24"/>
          <w:szCs w:val="24"/>
        </w:rPr>
        <w:t xml:space="preserve">，</w:t>
      </w:r>
      <w:r>
        <w:rPr>
          <w:rFonts w:ascii="宋体" w:hAnsi="宋体" w:cs="宋体"/>
          <w:sz w:val="24"/>
          <w:szCs w:val="24"/>
        </w:rPr>
        <w:t xml:space="preserve">鼓励反馈卫生问题</w:t>
      </w:r>
      <w:r>
        <w:rPr>
          <w:rFonts w:hint="eastAsia" w:ascii="宋体" w:hAnsi="宋体" w:cs="宋体"/>
          <w:sz w:val="24"/>
          <w:szCs w:val="24"/>
        </w:rPr>
        <w:t xml:space="preserve">。造成卫生安全事故的，将依法追究其法律责任。</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1.5.3 中标人须定期（至少每季度一次）组织员工进行环境卫生与个人健康防护知识培训，提升员工卫生意识和自我防护能力（如垃圾分类、传染病预防等）。建立员工健康监测机制（如体温监测、病假追踪等），鼓励员工主动报告个人健康异常状况并留存相关台账。</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1.5.4</w:t>
      </w:r>
      <w:r>
        <w:rPr>
          <w:rFonts w:ascii="宋体" w:hAnsi="宋体" w:cs="宋体"/>
          <w:sz w:val="24"/>
          <w:szCs w:val="24"/>
        </w:rPr>
        <w:t xml:space="preserve">加强用电安全管理，禁止私拉乱接，使用符合安全标准的电器设备。</w:t>
      </w:r>
      <w:r>
        <w:rPr>
          <w:rFonts w:hint="eastAsia" w:ascii="宋体" w:hAnsi="宋体" w:cs="宋体"/>
          <w:sz w:val="24"/>
          <w:szCs w:val="24"/>
        </w:rPr>
        <w:t xml:space="preserve">定期安排</w:t>
      </w:r>
      <w:r>
        <w:rPr>
          <w:rFonts w:ascii="宋体" w:hAnsi="宋体" w:cs="宋体"/>
          <w:sz w:val="24"/>
          <w:szCs w:val="24"/>
        </w:rPr>
        <w:t xml:space="preserve">专人</w:t>
      </w:r>
      <w:r>
        <w:rPr>
          <w:rFonts w:hint="eastAsia" w:ascii="宋体" w:hAnsi="宋体" w:cs="宋体"/>
          <w:sz w:val="24"/>
          <w:szCs w:val="24"/>
        </w:rPr>
        <w:t xml:space="preserve">对</w:t>
      </w:r>
      <w:r>
        <w:rPr>
          <w:rFonts w:ascii="宋体" w:hAnsi="宋体" w:cs="宋体"/>
          <w:sz w:val="24"/>
          <w:szCs w:val="24"/>
        </w:rPr>
        <w:t xml:space="preserve">重点区域（如</w:t>
      </w:r>
      <w:r>
        <w:rPr>
          <w:rFonts w:hint="eastAsia" w:ascii="宋体" w:hAnsi="宋体" w:cs="宋体"/>
          <w:sz w:val="24"/>
          <w:szCs w:val="24"/>
        </w:rPr>
        <w:t xml:space="preserve">办公区</w:t>
      </w:r>
      <w:r>
        <w:rPr>
          <w:rFonts w:ascii="宋体" w:hAnsi="宋体" w:cs="宋体"/>
          <w:sz w:val="24"/>
          <w:szCs w:val="24"/>
        </w:rPr>
        <w:t xml:space="preserve">、仓库</w:t>
      </w:r>
      <w:r>
        <w:rPr>
          <w:rFonts w:hint="eastAsia" w:ascii="宋体" w:hAnsi="宋体" w:cs="宋体"/>
          <w:sz w:val="24"/>
          <w:szCs w:val="24"/>
        </w:rPr>
        <w:t xml:space="preserve">区、设备停放区等</w:t>
      </w:r>
      <w:r>
        <w:rPr>
          <w:rFonts w:ascii="宋体" w:hAnsi="宋体" w:cs="宋体"/>
          <w:sz w:val="24"/>
          <w:szCs w:val="24"/>
        </w:rPr>
        <w:t xml:space="preserve">）</w:t>
      </w:r>
      <w:r>
        <w:rPr>
          <w:rFonts w:hint="eastAsia" w:ascii="宋体" w:hAnsi="宋体" w:cs="宋体"/>
          <w:sz w:val="24"/>
          <w:szCs w:val="24"/>
        </w:rPr>
        <w:t xml:space="preserve">进行安全用电</w:t>
      </w:r>
      <w:r>
        <w:rPr>
          <w:rFonts w:ascii="宋体" w:hAnsi="宋体" w:cs="宋体"/>
          <w:sz w:val="24"/>
          <w:szCs w:val="24"/>
        </w:rPr>
        <w:t xml:space="preserve">隐患</w:t>
      </w:r>
      <w:r>
        <w:rPr>
          <w:rFonts w:hint="eastAsia" w:ascii="宋体" w:hAnsi="宋体" w:cs="宋体"/>
          <w:sz w:val="24"/>
          <w:szCs w:val="24"/>
        </w:rPr>
        <w:t xml:space="preserve">排查，做到隐患立即上报，立即整改并留存相关台账。造成用电安全事故的，将依法追究其法律责任。</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1.5.5中标人须根据消防相关技术标准和要求，建立消防安全责任制度，明确各区域</w:t>
      </w:r>
      <w:r>
        <w:rPr>
          <w:rFonts w:ascii="宋体" w:hAnsi="宋体" w:cs="宋体"/>
          <w:sz w:val="24"/>
          <w:szCs w:val="24"/>
        </w:rPr>
        <w:t xml:space="preserve">（如</w:t>
      </w:r>
      <w:r>
        <w:rPr>
          <w:rFonts w:hint="eastAsia" w:ascii="宋体" w:hAnsi="宋体" w:cs="宋体"/>
          <w:sz w:val="24"/>
          <w:szCs w:val="24"/>
        </w:rPr>
        <w:t xml:space="preserve">办公区</w:t>
      </w:r>
      <w:r>
        <w:rPr>
          <w:rFonts w:ascii="宋体" w:hAnsi="宋体" w:cs="宋体"/>
          <w:sz w:val="24"/>
          <w:szCs w:val="24"/>
        </w:rPr>
        <w:t xml:space="preserve">、仓库</w:t>
      </w:r>
      <w:r>
        <w:rPr>
          <w:rFonts w:hint="eastAsia" w:ascii="宋体" w:hAnsi="宋体" w:cs="宋体"/>
          <w:sz w:val="24"/>
          <w:szCs w:val="24"/>
        </w:rPr>
        <w:t xml:space="preserve">区、设备停放区等</w:t>
      </w:r>
      <w:r>
        <w:rPr>
          <w:rFonts w:ascii="宋体" w:hAnsi="宋体" w:cs="宋体"/>
          <w:sz w:val="24"/>
          <w:szCs w:val="24"/>
        </w:rPr>
        <w:t xml:space="preserve">）</w:t>
      </w:r>
      <w:r>
        <w:rPr>
          <w:rFonts w:hint="eastAsia" w:ascii="宋体" w:hAnsi="宋体" w:cs="宋体"/>
          <w:sz w:val="24"/>
          <w:szCs w:val="24"/>
        </w:rPr>
        <w:t xml:space="preserve">防火责任人，每日进行防火巡查，每月至少组织一次全名的防火安全检查，做到隐患立即上报，立即整改并留存相关台账。造成火灾事故的，将依法追究其法律责任。</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1.5.6中标人须建立规范的仓储管理制度，明确物资分类、标识、存放要求（如防潮、防火、防倾倒）。 建立物资台账，记录物资的入库、领用、库存情况，定期盘点，做到账物相符。仓库须保持整洁、干燥、通风，符合消防安全要求。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1.5.7中标人须接受采购人</w:t>
      </w:r>
      <w:r>
        <w:rPr>
          <w:rFonts w:ascii="宋体" w:hAnsi="宋体" w:cs="宋体"/>
          <w:sz w:val="24"/>
          <w:szCs w:val="24"/>
        </w:rPr>
        <w:t xml:space="preserve">对后勤管理各项工作进行的定期检查、随机抽查和专项检查</w:t>
      </w:r>
      <w:r>
        <w:rPr>
          <w:rFonts w:hint="eastAsia" w:ascii="宋体" w:hAnsi="宋体" w:cs="宋体"/>
          <w:sz w:val="24"/>
          <w:szCs w:val="24"/>
        </w:rPr>
        <w:t xml:space="preserve">，不达标将按考核要求进行处罚。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2"/>
        <w:jc w:val="center"/>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1.6隧道运维信息化管理要求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为提升隧道管养精细化水平，中标单位应具备相应的信息化管理能力，包括但不限于：</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1.6.1、运维计划管理（周期性养护计划编制与动态调整等）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1.6.2、运维作业管理（养护过程数字化留痕、图像/视频实时上传等）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1.6.3、隐患整治管理（从发现、上报到整改的闭环跟踪等）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1.6.4、设施维修管理（维修方案、维修时限、维修材料等工序记录等）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1.6.5、设备物资管理（机电设施全生命周期电子档案管理，备品备件、应急物资电子化管理等）</w:t>
      </w:r>
      <w:r/>
    </w:p>
    <w:p>
      <w:pPr>
        <w:ind w:firstLine="482"/>
        <w:jc w:val="center"/>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1.7其他要求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运维期间，中标人需要配合采购人的一切活动，如文明城市测评等活动安排等。运维范围内如果发生交通事故或其他事故造成设施或设备损坏时，由中标人与事故责任人员及相关执法部门协商赔偿事宜，如未找到肇事者或无法协商，则由中标人按照要求及时恢复，采购人不承担任何费用。</w:t>
      </w:r>
      <w:bookmarkEnd w:id="0"/>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pStyle w:val="707"/>
        <w:jc w:val="both"/>
        <w:rPr>
          <w:rFonts w:ascii="宋体" w:hAnsi="宋体" w:eastAsia="宋体" w:cs="宋体"/>
          <w:b/>
          <w:bCs/>
          <w:sz w:val="24"/>
          <w:szCs w:val="24"/>
        </w:rPr>
      </w:pPr>
      <w:r>
        <w:rPr>
          <w:rFonts w:hint="eastAsia" w:ascii="宋体" w:hAnsi="宋体" w:eastAsia="宋体" w:cs="宋体"/>
          <w:b/>
          <w:bCs/>
          <w:sz w:val="24"/>
          <w:szCs w:val="24"/>
        </w:rPr>
        <w:t xml:space="preserve">2、运维技术要求（包括并不限于且不低于下列要求）</w:t>
      </w:r>
      <w:r/>
    </w:p>
    <w:p>
      <w:pPr>
        <w:pStyle w:val="709"/>
        <w:ind w:firstLine="482"/>
        <w:spacing w:line="553" w:lineRule="atLeast"/>
        <w:rPr>
          <w:rFonts w:ascii="宋体" w:hAnsi="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2.1土建专业</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土建运维基本目标</w:t>
      </w:r>
      <w:r/>
    </w:p>
    <w:tbl>
      <w:tblPr>
        <w:tblStyle w:val="717"/>
        <w:tblW w:w="82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2"/>
        <w:gridCol w:w="1560"/>
        <w:gridCol w:w="1757"/>
        <w:gridCol w:w="1726"/>
        <w:gridCol w:w="1902"/>
      </w:tblGrid>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细类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目标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备注</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总体</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5"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安全畅通、经济高效、整洁优美</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12"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设施完好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结构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完好率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且不影响正常使用</w:t>
            </w:r>
            <w:r/>
          </w:p>
        </w:tc>
      </w:tr>
      <w:tr>
        <w:trPr/>
        <w:tc>
          <w:tcPr>
            <w:tcBorders>
              <w:top w:val="single" w:color="auto" w:sz="4" w:space="0"/>
              <w:left w:val="single" w:color="auto" w:sz="4" w:space="0"/>
              <w:bottom w:val="single" w:color="auto" w:sz="4" w:space="0"/>
              <w:right w:val="single" w:color="auto" w:sz="4" w:space="0"/>
            </w:tcBorders>
            <w:tcW w:w="131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装饰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完好率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且不影响正常使用</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排水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完好率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且不影响正常使用</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安全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完好率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72"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及时发现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〈15分钟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应急抢修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〈半小时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正常维修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工作质量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72"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应急处理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及时发现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〈3分钟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正确处置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0错误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一般险情排除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〈15分钟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参照应急预案执行</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意外损失追偿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&gt;95%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7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社会满意率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&gt;98%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287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安全生产</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责任事故</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0</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72"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节能降耗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成本递减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合理范围内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除去老化影响</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能耗消费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72"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安全生产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持证上岗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特种作业</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岗前培训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安全培训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&gt;10小时/人，月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技能培训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&gt;15小时/人，月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bl>
    <w:p>
      <w:r/>
      <w:r/>
    </w:p>
    <w:p>
      <w:pPr>
        <w:pStyle w:val="710"/>
        <w:ind w:firstLine="482"/>
        <w:rPr>
          <w:rFonts w:ascii="宋体" w:hAnsi="宋体" w:eastAsia="宋体" w:cs="宋体"/>
          <w:bCs w:val="0"/>
          <w:sz w:val="24"/>
          <w:szCs w:val="24"/>
        </w:rPr>
      </w:pPr>
      <w:r>
        <w:rPr>
          <w:rFonts w:hint="eastAsia" w:ascii="宋体" w:hAnsi="宋体" w:eastAsia="宋体" w:cs="宋体"/>
          <w:bCs w:val="0"/>
          <w:sz w:val="24"/>
          <w:szCs w:val="24"/>
        </w:rPr>
        <w:t xml:space="preserve">2.1.1主要运维范围及要求</w:t>
      </w:r>
      <w:r/>
    </w:p>
    <w:p>
      <w:pPr>
        <w:ind w:right="-113"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主要是指运维范围内的各隧道工程结构物及装修，如隧道出入口、隧道结构主体、隧道装饰、顶面防火板、防撞墙（包含城墙式防撞墙）、侧墙装饰板、路面、检修道、安全通道、防排水设施、设备用房、风道等结构物和附属物；管养基地内外装、给排水等。</w:t>
      </w:r>
      <w:r/>
    </w:p>
    <w:p>
      <w:pPr>
        <w:ind w:right="-113"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2、运维范围内土建结构的运维工作应包括日常巡查、清洁、结构检查与技术状况评定、保养维修和病害处治等内容：</w:t>
      </w:r>
      <w:r/>
    </w:p>
    <w:p>
      <w:pPr>
        <w:ind w:left="8" w:right="-113" w:firstLine="215"/>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（1）日常巡查应对隧道洞口、衬砌、路面是否处在正常工作状态、是否妨碍交通安全等进行检查。</w:t>
      </w:r>
      <w:r/>
    </w:p>
    <w:p>
      <w:pPr>
        <w:ind w:left="8" w:right="-113" w:firstLine="21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（2）隧道清洁应综合考虑隧道运维等级、交通组成、结构物脏污程度、清洁方式及效率和环境条件等因素确定清洁方案和频率。</w:t>
      </w:r>
      <w:r/>
    </w:p>
    <w:p>
      <w:pPr>
        <w:ind w:left="8" w:right="-113" w:firstLine="21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（3）土建结构检查应包括经常检查、定期检查、应急检查和专项检查。中标人应结合土建结构定期检查资料及技术状况评定等级制定相应的运维及专项维修计划、方案，并落实到位。</w:t>
      </w:r>
      <w:r/>
    </w:p>
    <w:p>
      <w:pPr>
        <w:ind w:left="8" w:right="-113" w:firstLine="21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（4）土建结构的保养维修应包括经常性或预防性的保养和轻微缺损部分的维修等内容, 恢复和保持结构的正常使用状况。</w:t>
      </w:r>
      <w:r/>
    </w:p>
    <w:p>
      <w:pPr>
        <w:ind w:left="8" w:right="-113" w:firstLine="210"/>
        <w:spacing w:line="85"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（5）病害处治包括修复破损结构、消除结构病害、恢复结构物设计标准、维持良好的技术功能状态</w:t>
      </w:r>
      <w:r>
        <w:rPr>
          <w:rFonts w:hint="eastAsia" w:ascii="宋体" w:hAnsi="宋体" w:cs="宋体"/>
          <w:sz w:val="24"/>
          <w:szCs w:val="24"/>
          <w:lang w:eastAsia="zh-CN"/>
        </w:rPr>
        <w:t xml:space="preserve">。</w:t>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3、运维作业时，应采取必要的安全措施，保证运维作业安全。清理出的垃圾或废渣严禁随意倾倒，产生的废水严禁随意排放。</w:t>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4、各隧道土建设施清单（包括但不限于）</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（1）运河路隧道</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运河路隧道主体为双向六车道，总长561m，敞开段长360m（暗埋段201m），主线道路宽10.75m；净高5m；入口限高架限高4.5m。</w:t>
      </w:r>
      <w:r/>
    </w:p>
    <w:tbl>
      <w:tblPr>
        <w:tblStyle w:val="1032"/>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2"/>
        <w:gridCol w:w="3658"/>
        <w:gridCol w:w="3492"/>
      </w:tblGrid>
      <w:tr>
        <w:trPr>
          <w:trHeight w:val="673"/>
        </w:trPr>
        <w:tc>
          <w:tcPr>
            <w:tcW w:w="137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序号</w:t>
            </w:r>
            <w:r/>
          </w:p>
        </w:tc>
        <w:tc>
          <w:tcPr>
            <w:tcW w:w="365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设备设施名称</w:t>
            </w:r>
            <w:r/>
          </w:p>
        </w:tc>
        <w:tc>
          <w:tcPr>
            <w:tcW w:w="349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基础信息</w:t>
            </w:r>
            <w:r/>
          </w:p>
        </w:tc>
      </w:tr>
      <w:tr>
        <w:trPr>
          <w:trHeight w:val="673"/>
        </w:trPr>
        <w:tc>
          <w:tcPr>
            <w:tcW w:w="137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w:t>
            </w:r>
            <w:r/>
          </w:p>
        </w:tc>
        <w:tc>
          <w:tcPr>
            <w:tcW w:w="365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隧道防撞墙</w:t>
            </w:r>
            <w:r/>
          </w:p>
        </w:tc>
        <w:tc>
          <w:tcPr>
            <w:tcW w:w="349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1817.64㎡</w:t>
            </w:r>
            <w:r/>
          </w:p>
        </w:tc>
      </w:tr>
      <w:tr>
        <w:trPr>
          <w:trHeight w:val="673"/>
        </w:trPr>
        <w:tc>
          <w:tcPr>
            <w:tcW w:w="137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w:t>
            </w:r>
            <w:r/>
          </w:p>
        </w:tc>
        <w:tc>
          <w:tcPr>
            <w:tcW w:w="365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隧道搪瓷钢板</w:t>
            </w:r>
            <w:r/>
          </w:p>
        </w:tc>
        <w:tc>
          <w:tcPr>
            <w:tcW w:w="349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2619.12㎡</w:t>
            </w:r>
            <w:r/>
          </w:p>
        </w:tc>
      </w:tr>
      <w:tr>
        <w:trPr>
          <w:trHeight w:val="673"/>
        </w:trPr>
        <w:tc>
          <w:tcPr>
            <w:tcW w:w="137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w:t>
            </w:r>
            <w:r/>
          </w:p>
        </w:tc>
        <w:tc>
          <w:tcPr>
            <w:tcW w:w="365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隧道大理石</w:t>
            </w:r>
            <w:r/>
          </w:p>
        </w:tc>
        <w:tc>
          <w:tcPr>
            <w:tcW w:w="349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2182.64㎡</w:t>
            </w:r>
            <w:r/>
          </w:p>
        </w:tc>
      </w:tr>
      <w:tr>
        <w:trPr>
          <w:trHeight w:val="673"/>
        </w:trPr>
        <w:tc>
          <w:tcPr>
            <w:tcW w:w="137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w:t>
            </w:r>
            <w:r/>
          </w:p>
        </w:tc>
        <w:tc>
          <w:tcPr>
            <w:tcW w:w="365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隧道雨废水泵房、泵池</w:t>
            </w:r>
            <w:r/>
          </w:p>
        </w:tc>
        <w:tc>
          <w:tcPr>
            <w:tcW w:w="349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1座</w:t>
            </w:r>
            <w:r/>
          </w:p>
        </w:tc>
      </w:tr>
      <w:tr>
        <w:trPr>
          <w:trHeight w:val="673"/>
        </w:trPr>
        <w:tc>
          <w:tcPr>
            <w:tcW w:w="137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w:t>
            </w:r>
            <w:r/>
          </w:p>
        </w:tc>
        <w:tc>
          <w:tcPr>
            <w:tcW w:w="365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限高架</w:t>
            </w:r>
            <w:r/>
          </w:p>
        </w:tc>
        <w:tc>
          <w:tcPr>
            <w:tcW w:w="349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2处</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（2）文昌中路隧道</w:t>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文昌中路隧道主体为双向六车道，总长470m，敞开段长387m（暗埋段83m），主线道路宽10.75m；净高5m；入口限高架限高4.5m。</w:t>
      </w:r>
      <w:r/>
    </w:p>
    <w:tbl>
      <w:tblPr>
        <w:tblStyle w:val="1033"/>
        <w:tblW w:w="85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3965"/>
        <w:gridCol w:w="3144"/>
      </w:tblGrid>
      <w:tr>
        <w:trPr>
          <w:trHeight w:val="664"/>
        </w:trPr>
        <w:tc>
          <w:tcPr>
            <w:tcW w:w="14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序号</w:t>
            </w:r>
            <w:r/>
          </w:p>
        </w:tc>
        <w:tc>
          <w:tcPr>
            <w:tcW w:w="396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设备设施名称</w:t>
            </w:r>
            <w:r/>
          </w:p>
        </w:tc>
        <w:tc>
          <w:tcPr>
            <w:tcW w:w="314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基础信息</w:t>
            </w:r>
            <w:r/>
          </w:p>
        </w:tc>
      </w:tr>
      <w:tr>
        <w:trPr>
          <w:trHeight w:val="664"/>
        </w:trPr>
        <w:tc>
          <w:tcPr>
            <w:tcW w:w="14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w:t>
            </w:r>
            <w:r/>
          </w:p>
        </w:tc>
        <w:tc>
          <w:tcPr>
            <w:tcW w:w="396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隧道防撞墙</w:t>
            </w:r>
            <w:r/>
          </w:p>
        </w:tc>
        <w:tc>
          <w:tcPr>
            <w:tcW w:w="314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1522.8㎡</w:t>
            </w:r>
            <w:r/>
          </w:p>
        </w:tc>
      </w:tr>
      <w:tr>
        <w:trPr>
          <w:trHeight w:val="664"/>
        </w:trPr>
        <w:tc>
          <w:tcPr>
            <w:tcW w:w="14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w:t>
            </w:r>
            <w:r/>
          </w:p>
        </w:tc>
        <w:tc>
          <w:tcPr>
            <w:tcW w:w="396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搪瓷钢板</w:t>
            </w:r>
            <w:r/>
          </w:p>
        </w:tc>
        <w:tc>
          <w:tcPr>
            <w:tcW w:w="314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1203.12㎡</w:t>
            </w:r>
            <w:r/>
          </w:p>
        </w:tc>
      </w:tr>
      <w:tr>
        <w:trPr>
          <w:trHeight w:val="664"/>
        </w:trPr>
        <w:tc>
          <w:tcPr>
            <w:tcW w:w="14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w:t>
            </w:r>
            <w:r/>
          </w:p>
        </w:tc>
        <w:tc>
          <w:tcPr>
            <w:tcW w:w="396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隧道大理石</w:t>
            </w:r>
            <w:r/>
          </w:p>
        </w:tc>
        <w:tc>
          <w:tcPr>
            <w:tcW w:w="314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2563.99㎡</w:t>
            </w:r>
            <w:r/>
          </w:p>
        </w:tc>
      </w:tr>
      <w:tr>
        <w:trPr>
          <w:trHeight w:val="664"/>
        </w:trPr>
        <w:tc>
          <w:tcPr>
            <w:tcW w:w="14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w:t>
            </w:r>
            <w:r/>
          </w:p>
        </w:tc>
        <w:tc>
          <w:tcPr>
            <w:tcW w:w="396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隧道雨废水泵房、泵池</w:t>
            </w:r>
            <w:r/>
          </w:p>
        </w:tc>
        <w:tc>
          <w:tcPr>
            <w:tcW w:w="314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1座</w:t>
            </w:r>
            <w:r/>
          </w:p>
        </w:tc>
      </w:tr>
      <w:tr>
        <w:trPr>
          <w:trHeight w:val="664"/>
        </w:trPr>
        <w:tc>
          <w:tcPr>
            <w:tcW w:w="14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w:t>
            </w:r>
            <w:r/>
          </w:p>
        </w:tc>
        <w:tc>
          <w:tcPr>
            <w:tcW w:w="396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限高架</w:t>
            </w:r>
            <w:r/>
          </w:p>
        </w:tc>
        <w:tc>
          <w:tcPr>
            <w:tcW w:w="314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2处</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（3）万福西路隧道</w:t>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万福西路隧道主体为双向六车道，总长1499m，敞开段长457m（暗埋段1042m），主线道路宽10.75m；匝道道路宽7m；净高5m；入口限高架限高4.5m。</w:t>
      </w:r>
      <w:r/>
    </w:p>
    <w:tbl>
      <w:tblPr>
        <w:tblStyle w:val="1034"/>
        <w:tblW w:w="85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6"/>
        <w:gridCol w:w="3959"/>
        <w:gridCol w:w="3138"/>
      </w:tblGrid>
      <w:tr>
        <w:trPr>
          <w:trHeight w:val="724"/>
        </w:trPr>
        <w:tc>
          <w:tcPr>
            <w:tcW w:w="1426"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序号</w:t>
            </w:r>
            <w:r/>
          </w:p>
        </w:tc>
        <w:tc>
          <w:tcPr>
            <w:tcW w:w="395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设备设施名称</w:t>
            </w:r>
            <w:r/>
          </w:p>
        </w:tc>
        <w:tc>
          <w:tcPr>
            <w:tcW w:w="313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基础信息</w:t>
            </w:r>
            <w:r/>
          </w:p>
        </w:tc>
      </w:tr>
      <w:tr>
        <w:trPr>
          <w:trHeight w:val="724"/>
        </w:trPr>
        <w:tc>
          <w:tcPr>
            <w:tcW w:w="1426"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w:t>
            </w:r>
            <w:r/>
          </w:p>
        </w:tc>
        <w:tc>
          <w:tcPr>
            <w:tcW w:w="395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隧道防撞墙</w:t>
            </w:r>
            <w:r/>
          </w:p>
        </w:tc>
        <w:tc>
          <w:tcPr>
            <w:tcW w:w="313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5579.118㎡</w:t>
            </w:r>
            <w:r/>
          </w:p>
        </w:tc>
      </w:tr>
      <w:tr>
        <w:trPr>
          <w:trHeight w:val="724"/>
        </w:trPr>
        <w:tc>
          <w:tcPr>
            <w:tcW w:w="1426"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w:t>
            </w:r>
            <w:r/>
          </w:p>
        </w:tc>
        <w:tc>
          <w:tcPr>
            <w:tcW w:w="395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搪瓷钢板</w:t>
            </w:r>
            <w:r/>
          </w:p>
        </w:tc>
        <w:tc>
          <w:tcPr>
            <w:tcW w:w="313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12766.7㎡</w:t>
            </w:r>
            <w:r/>
          </w:p>
        </w:tc>
      </w:tr>
      <w:tr>
        <w:trPr>
          <w:trHeight w:val="724"/>
        </w:trPr>
        <w:tc>
          <w:tcPr>
            <w:tcW w:w="1426"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w:t>
            </w:r>
            <w:r/>
          </w:p>
        </w:tc>
        <w:tc>
          <w:tcPr>
            <w:tcW w:w="395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隧道大理石</w:t>
            </w:r>
            <w:r/>
          </w:p>
        </w:tc>
        <w:tc>
          <w:tcPr>
            <w:tcW w:w="313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6253.42㎡</w:t>
            </w:r>
            <w:r/>
          </w:p>
        </w:tc>
      </w:tr>
      <w:tr>
        <w:trPr>
          <w:trHeight w:val="724"/>
        </w:trPr>
        <w:tc>
          <w:tcPr>
            <w:tcW w:w="1426"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w:t>
            </w:r>
            <w:r/>
          </w:p>
        </w:tc>
        <w:tc>
          <w:tcPr>
            <w:tcW w:w="395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隧道雨废水泵房、泵池</w:t>
            </w:r>
            <w:r/>
          </w:p>
        </w:tc>
        <w:tc>
          <w:tcPr>
            <w:tcW w:w="313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3座</w:t>
            </w:r>
            <w:r/>
          </w:p>
        </w:tc>
      </w:tr>
      <w:tr>
        <w:trPr>
          <w:trHeight w:val="724"/>
        </w:trPr>
        <w:tc>
          <w:tcPr>
            <w:tcW w:w="1426"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w:t>
            </w:r>
            <w:r/>
          </w:p>
        </w:tc>
        <w:tc>
          <w:tcPr>
            <w:tcW w:w="395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限高架</w:t>
            </w:r>
            <w:r/>
          </w:p>
        </w:tc>
        <w:tc>
          <w:tcPr>
            <w:tcW w:w="313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3处</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（4）平山隧道</w:t>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平山隧道主体为双向六车道，总长500m，敞开段长435m（暗埋段65），主线道路宽10.75m；净高5m；入口限高架限高4.5m。</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bl>
      <w:tblPr>
        <w:tblStyle w:val="1035"/>
        <w:tblW w:w="85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4"/>
        <w:gridCol w:w="3952"/>
        <w:gridCol w:w="3174"/>
      </w:tblGrid>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序号</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设备设施名称</w:t>
            </w:r>
            <w:r/>
          </w:p>
        </w:tc>
        <w:tc>
          <w:tcPr>
            <w:tcW w:w="317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基础信息</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隧道防撞墙</w:t>
            </w:r>
            <w:r/>
          </w:p>
        </w:tc>
        <w:tc>
          <w:tcPr>
            <w:tcW w:w="317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1620㎡</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隧道搪瓷钢板</w:t>
            </w:r>
            <w:r/>
          </w:p>
        </w:tc>
        <w:tc>
          <w:tcPr>
            <w:tcW w:w="317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780㎡</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隧道大理石</w:t>
            </w:r>
            <w:r/>
          </w:p>
        </w:tc>
        <w:tc>
          <w:tcPr>
            <w:tcW w:w="317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4890.9㎡</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隧道雨废水泵房、泵池</w:t>
            </w:r>
            <w:r/>
          </w:p>
        </w:tc>
        <w:tc>
          <w:tcPr>
            <w:tcW w:w="317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1座</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限高架</w:t>
            </w:r>
            <w:r/>
          </w:p>
        </w:tc>
        <w:tc>
          <w:tcPr>
            <w:tcW w:w="317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2处</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（5）雷塘路隧道</w:t>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雷塘路隧道主体为双向六车道，总长838m，敞开段长412m（暗埋段426），主线道路宽10.75m；净高5m；入口限高架限高4.5m。</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bl>
      <w:tblPr>
        <w:tblStyle w:val="1035"/>
        <w:tblW w:w="85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4"/>
        <w:gridCol w:w="3952"/>
        <w:gridCol w:w="3161"/>
      </w:tblGrid>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序号</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设备设施名称</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基础信息</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隧道防撞墙</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2715.12㎡</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隧道搪瓷钢板</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5112㎡</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隧道大理石</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5032.22㎡</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隧道雨废水泵房、泵池</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1座</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限高架</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2处</w:t>
            </w:r>
            <w:r/>
          </w:p>
        </w:tc>
      </w:tr>
    </w:tbl>
    <w:p>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（6）相别路隧道及人行通道</w:t>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相别路隧道及人行通道主体为双向两车道，两侧设置非机动车道，西侧设人行通道出入口，总长305m，敞开段长210m（暗埋段95），主线道路宽7m；净高4.5m；入口限高架限高4.5m。</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bl>
      <w:tblPr>
        <w:tblStyle w:val="1035"/>
        <w:tblW w:w="85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4"/>
        <w:gridCol w:w="3952"/>
        <w:gridCol w:w="3161"/>
      </w:tblGrid>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序号</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设备设施名称</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基础信息</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隧道防撞墙</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494.1㎡</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隧道搪瓷钢板</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2724.37㎡</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隧道大理石</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3382.7㎡</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隧道雨废水泵房、泵池</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3座</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限高架</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6处</w:t>
            </w:r>
            <w:r/>
          </w:p>
        </w:tc>
      </w:tr>
    </w:tbl>
    <w:p>
      <w:pPr>
        <w:ind w:firstLine="480"/>
        <w:jc w:val="left"/>
        <w:widowControl/>
        <w:rPr>
          <w:rFonts w:ascii="宋体" w:hAnsi="宋体" w:cs="宋体"/>
          <w:sz w:val="24"/>
          <w:szCs w:val="24"/>
        </w:rPr>
      </w:pPr>
      <w:r>
        <w:rPr>
          <w:rFonts w:hint="eastAsia" w:ascii="宋体" w:hAnsi="宋体" w:cs="宋体"/>
          <w:sz w:val="24"/>
          <w:szCs w:val="24"/>
        </w:rPr>
        <w:t xml:space="preserve">（7）邗江路隧道</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邗江路隧道北侧长520米，其中暗埋段170米、敞开段350米；南侧长760米，其中暗埋段405米、敞开段355米；道路宽10.75m，暗埋段净高5m，入口限高架限高4.5m。</w:t>
      </w:r>
      <w:r/>
    </w:p>
    <w:tbl>
      <w:tblPr>
        <w:tblStyle w:val="71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3699"/>
        <w:gridCol w:w="3470"/>
      </w:tblGrid>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设备设施名称</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基础信息</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防撞墙</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2560㎡</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陶瓷薄板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3456㎡</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大理石</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4378㎡</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雨水泵房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1座</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限高架</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2处</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（8）扬子江路隧道</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扬子江路隧道全长1195米，其中暗埋段770米、敞开段345米；道路宽11.25m，暗埋段净高5m，入口限高架限高4.5m。</w:t>
      </w:r>
      <w:r/>
    </w:p>
    <w:tbl>
      <w:tblPr>
        <w:tblStyle w:val="71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3699"/>
        <w:gridCol w:w="3470"/>
      </w:tblGrid>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设备设施名称</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基础信息</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防撞墙</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4600㎡</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陶瓷薄板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9244.5㎡</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大理石</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2990㎡</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雨水泵房、废水泵房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3座</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消防泵房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1座</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限高架</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2处</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（9）荷花池隧道</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荷花池隧道南侧全长730米，北侧全长830米，其中南侧暗埋段315米、敞开段415米，北侧暗埋段410米、敞开段420米。；道路宽10.75m，暗埋段净高5m，入口限高架限高4.5m。</w:t>
      </w:r>
      <w:r/>
    </w:p>
    <w:tbl>
      <w:tblPr>
        <w:tblStyle w:val="71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3699"/>
        <w:gridCol w:w="3470"/>
      </w:tblGrid>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设备设施名称</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基础信息</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防撞墙</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3120㎡</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陶瓷薄板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3780㎡</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大理石</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3009㎡</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雨水泵房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1座</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限高架</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2处</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（10）渡江南路隧道</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渡江南路隧道全长840米，其中暗埋段385米、敞开段455米；道路宽10.75m，暗埋段净高5m，入口限高架限高4.5m。</w:t>
      </w:r>
      <w:r/>
    </w:p>
    <w:tbl>
      <w:tblPr>
        <w:tblStyle w:val="71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3699"/>
        <w:gridCol w:w="3470"/>
      </w:tblGrid>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设备设施名称</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基础信息</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防撞墙</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3360㎡</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陶瓷薄板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4622.24㎡</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大理石</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3300㎡</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雨水泵房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2座</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限高架</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2处</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（11）开发路隧道</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开发路隧道全长865米，其中暗埋段430米、敞开段435米；道路宽10.75m，暗埋段净高5m，入口限高架限高4.5m。</w:t>
      </w:r>
      <w:r/>
    </w:p>
    <w:tbl>
      <w:tblPr>
        <w:tblStyle w:val="71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3699"/>
        <w:gridCol w:w="3470"/>
      </w:tblGrid>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设备设施名称</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基础信息</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防撞墙</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3460㎡</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陶瓷薄板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5162.24㎡</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大理石</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3300㎡</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雨水泵房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2座</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限高架</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2处</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（12）韩许河路隧道</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韩许河路隧道全长538米，其中暗埋段长136m，敞开段长403m；道路宽11.25m，暗埋段净高5.4m，限高4.9m。</w:t>
      </w:r>
      <w:r/>
    </w:p>
    <w:tbl>
      <w:tblPr>
        <w:tblStyle w:val="71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3699"/>
        <w:gridCol w:w="3470"/>
      </w:tblGrid>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设备设施名称</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基础信息</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防撞墙</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1076㎡</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干挂磁面纤维增强水泥墙板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1989㎡</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大理石</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5574.39㎡</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雨水泵站</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1座</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（13）文昌东路隧道</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文昌东路隧道全长582米，其中暗埋段长180m，敞开段长402m；道路宽11.25m，暗埋段净高5.4m，限高4.9m。</w:t>
      </w:r>
      <w:r/>
    </w:p>
    <w:tbl>
      <w:tblPr>
        <w:tblStyle w:val="71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3699"/>
        <w:gridCol w:w="3470"/>
      </w:tblGrid>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设备设施名称</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基础信息</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防撞墙</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1164㎡</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干挂磁面纤维增强水泥墙板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2635.2㎡</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大理石</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5560.56㎡</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雨水泵站</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1座</w:t>
            </w:r>
            <w:r/>
          </w:p>
        </w:tc>
      </w:tr>
    </w:tbl>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（14）龙城路隧道</w:t>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龙城路隧道主体为双向四车道，总长539.468m，敞开段长359.468m（暗埋段60、光过渡段120m），主线道路宽8.5m；净高5.2m；入口限高架限高4.9m。</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bl>
      <w:tblPr>
        <w:tblStyle w:val="1035"/>
        <w:tblW w:w="85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4039"/>
        <w:gridCol w:w="3150"/>
      </w:tblGrid>
      <w:tr>
        <w:trPr>
          <w:trHeight w:val="659"/>
        </w:trPr>
        <w:tc>
          <w:tcPr>
            <w:tcW w:w="134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序号</w:t>
            </w:r>
            <w:r/>
          </w:p>
        </w:tc>
        <w:tc>
          <w:tcPr>
            <w:tcW w:w="403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设备设施名称</w:t>
            </w:r>
            <w:r/>
          </w:p>
        </w:tc>
        <w:tc>
          <w:tcPr>
            <w:tcW w:w="3150"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基础信息</w:t>
            </w:r>
            <w:r/>
          </w:p>
        </w:tc>
      </w:tr>
      <w:tr>
        <w:trPr>
          <w:trHeight w:val="659"/>
        </w:trPr>
        <w:tc>
          <w:tcPr>
            <w:tcW w:w="134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w:t>
            </w:r>
            <w:r/>
          </w:p>
        </w:tc>
        <w:tc>
          <w:tcPr>
            <w:tcW w:w="403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隧道防撞墙</w:t>
            </w:r>
            <w:r/>
          </w:p>
        </w:tc>
        <w:tc>
          <w:tcPr>
            <w:tcW w:w="3150"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1747.876㎡</w:t>
            </w:r>
            <w:r/>
          </w:p>
        </w:tc>
      </w:tr>
      <w:tr>
        <w:trPr>
          <w:trHeight w:val="659"/>
        </w:trPr>
        <w:tc>
          <w:tcPr>
            <w:tcW w:w="134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w:t>
            </w:r>
            <w:r/>
          </w:p>
        </w:tc>
        <w:tc>
          <w:tcPr>
            <w:tcW w:w="4039" w:type="dxa"/>
            <w:vAlign w:val="center"/>
            <w:textDirection w:val="lrTb"/>
            <w:noWrap w:val="false"/>
          </w:tcPr>
          <w:p>
            <w:pPr>
              <w:ind w:firstLine="480"/>
              <w:spacing w:line="85" w:lineRule="atLeast"/>
              <w:rPr>
                <w:rFonts w:ascii="宋体" w:hAnsi="宋体" w:cs="宋体"/>
                <w:sz w:val="24"/>
                <w:szCs w:val="24"/>
              </w:rPr>
            </w:pPr>
            <w:r>
              <w:rPr>
                <w:rFonts w:hint="eastAsia" w:ascii="宋体" w:hAnsi="宋体" w:cs="宋体"/>
                <w:sz w:val="24"/>
                <w:szCs w:val="24"/>
              </w:rPr>
              <w:t xml:space="preserve">干挂磁面纤维增强水泥墙板</w:t>
            </w:r>
            <w:r/>
          </w:p>
        </w:tc>
        <w:tc>
          <w:tcPr>
            <w:tcW w:w="3150"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1080㎡</w:t>
            </w:r>
            <w:r/>
          </w:p>
        </w:tc>
      </w:tr>
      <w:tr>
        <w:trPr>
          <w:trHeight w:val="659"/>
        </w:trPr>
        <w:tc>
          <w:tcPr>
            <w:tcW w:w="134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w:t>
            </w:r>
            <w:r/>
          </w:p>
        </w:tc>
        <w:tc>
          <w:tcPr>
            <w:tcW w:w="403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隧道大理石</w:t>
            </w:r>
            <w:r/>
          </w:p>
        </w:tc>
        <w:tc>
          <w:tcPr>
            <w:tcW w:w="3150"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2185㎡</w:t>
            </w:r>
            <w:r/>
          </w:p>
        </w:tc>
      </w:tr>
      <w:tr>
        <w:trPr>
          <w:trHeight w:val="659"/>
        </w:trPr>
        <w:tc>
          <w:tcPr>
            <w:tcW w:w="134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w:t>
            </w:r>
            <w:r/>
          </w:p>
        </w:tc>
        <w:tc>
          <w:tcPr>
            <w:tcW w:w="403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隧道雨废水泵房、泵池</w:t>
            </w:r>
            <w:r/>
          </w:p>
        </w:tc>
        <w:tc>
          <w:tcPr>
            <w:tcW w:w="3150"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1座</w:t>
            </w:r>
            <w:r/>
          </w:p>
        </w:tc>
      </w:tr>
      <w:tr>
        <w:trPr>
          <w:trHeight w:val="659"/>
        </w:trPr>
        <w:tc>
          <w:tcPr>
            <w:tcW w:w="134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w:t>
            </w:r>
            <w:r/>
          </w:p>
        </w:tc>
        <w:tc>
          <w:tcPr>
            <w:tcW w:w="403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限高架</w:t>
            </w:r>
            <w:r/>
          </w:p>
        </w:tc>
        <w:tc>
          <w:tcPr>
            <w:tcW w:w="3150"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2处</w:t>
            </w:r>
            <w:r/>
          </w:p>
        </w:tc>
      </w:tr>
    </w:tbl>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t xml:space="preserve">（</w:t>
      </w:r>
      <w:r>
        <w:rPr>
          <w:rFonts w:hint="eastAsia"/>
          <w:sz w:val="24"/>
          <w:szCs w:val="24"/>
        </w:rPr>
        <w:t xml:space="preserve">15</w:t>
      </w:r>
      <w:r>
        <w:rPr>
          <w:sz w:val="24"/>
          <w:szCs w:val="24"/>
        </w:rPr>
        <w:t xml:space="preserve">）</w:t>
      </w:r>
      <w:r>
        <w:rPr>
          <w:rFonts w:hint="eastAsia"/>
          <w:sz w:val="24"/>
          <w:szCs w:val="24"/>
        </w:rPr>
        <w:t xml:space="preserve">经四路隧道</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经四路隧道主体为双向两车道（单洞含人非），总长312m，暗埋段54m，敞开段258m。主线道路宽7.00m；净高4.5m；入口限高架限高4.5m。</w:t>
      </w:r>
      <w:r/>
    </w:p>
    <w:tbl>
      <w:tblPr>
        <w:tblStyle w:val="1035"/>
        <w:tblW w:w="8522" w:type="dxa"/>
        <w:tblInd w:w="0" w:type="dxa"/>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5"/>
        <w:gridCol w:w="4028"/>
        <w:gridCol w:w="3149"/>
      </w:tblGrid>
      <w:tr>
        <w:trPr>
          <w:trHeight w:val="658"/>
        </w:trPr>
        <w:tc>
          <w:tcPr>
            <w:tcW w:w="134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序号</w:t>
            </w:r>
            <w:r/>
          </w:p>
        </w:tc>
        <w:tc>
          <w:tcPr>
            <w:tcW w:w="40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设备设施名称</w:t>
            </w:r>
            <w:r/>
          </w:p>
        </w:tc>
        <w:tc>
          <w:tcPr>
            <w:tcW w:w="314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基础信息</w:t>
            </w:r>
            <w:r/>
          </w:p>
        </w:tc>
      </w:tr>
      <w:tr>
        <w:trPr>
          <w:trHeight w:val="658"/>
        </w:trPr>
        <w:tc>
          <w:tcPr>
            <w:tcW w:w="134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w:t>
            </w:r>
            <w:r/>
          </w:p>
        </w:tc>
        <w:tc>
          <w:tcPr>
            <w:tcW w:w="40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隧道防撞墙</w:t>
            </w:r>
            <w:r/>
          </w:p>
        </w:tc>
        <w:tc>
          <w:tcPr>
            <w:tcW w:w="314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555.36m2</w:t>
            </w:r>
            <w:r/>
          </w:p>
        </w:tc>
      </w:tr>
      <w:tr>
        <w:trPr>
          <w:trHeight w:val="658"/>
        </w:trPr>
        <w:tc>
          <w:tcPr>
            <w:tcW w:w="134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w:t>
            </w:r>
            <w:r/>
          </w:p>
        </w:tc>
        <w:tc>
          <w:tcPr>
            <w:tcW w:w="40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隧道搪瓷钢板</w:t>
            </w:r>
            <w:r/>
          </w:p>
        </w:tc>
        <w:tc>
          <w:tcPr>
            <w:tcW w:w="314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1188m2</w:t>
            </w:r>
            <w:r/>
          </w:p>
        </w:tc>
      </w:tr>
      <w:tr>
        <w:trPr>
          <w:trHeight w:val="658"/>
        </w:trPr>
        <w:tc>
          <w:tcPr>
            <w:tcW w:w="134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w:t>
            </w:r>
            <w:r/>
          </w:p>
        </w:tc>
        <w:tc>
          <w:tcPr>
            <w:tcW w:w="40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排水泵房</w:t>
            </w:r>
            <w:r/>
          </w:p>
        </w:tc>
        <w:tc>
          <w:tcPr>
            <w:tcW w:w="314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1座</w:t>
            </w:r>
            <w:r/>
          </w:p>
        </w:tc>
      </w:tr>
      <w:tr>
        <w:trPr>
          <w:trHeight w:val="658"/>
        </w:trPr>
        <w:tc>
          <w:tcPr>
            <w:tcW w:w="134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w:t>
            </w:r>
            <w:r/>
          </w:p>
        </w:tc>
        <w:tc>
          <w:tcPr>
            <w:tcW w:w="40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限高架</w:t>
            </w:r>
            <w:r/>
          </w:p>
        </w:tc>
        <w:tc>
          <w:tcPr>
            <w:tcW w:w="314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2处</w:t>
            </w:r>
            <w:r/>
          </w:p>
        </w:tc>
      </w:tr>
    </w:tbl>
    <w:p>
      <w:pPr>
        <w:pStyle w:val="71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2.1.2日常巡查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土建结构日常巡查应对隧道敞开段、主体结构、路面及安全保护区域内的路面是否存在影响结构安全或妨碍交通安全的隐患等进行检查，主要包括以下内容：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1、敞开段是否存在挡墙开裂、倾斜等现象；干挂或湿贴石材是否存在松动、脱落等现象。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2、主体结构是否存在开裂、明显变形、掉块等现象。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3、隧道内路面是否存在散落杂物、严重隆起或沉降、错台、断裂、裂缝、车辙和推移、坑槽和泛油等现象。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4、隧道顶部预埋件、悬吊件、防火涂料（板）等是否存在断裂、变形、脱落等现象。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5、隧道内是否存在渗漏水、路面大面积积水、涌泥砂等现象。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6、内装饰板是否存在破损、明显变形、脱落等现象。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7、电缆沟、附属用房是否存在明显涌水、积水。</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8、洞口绿化区有无树木倾倒在行车限界范围内。</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9、梳齿型钢板伸缩缝、横截沟盖板是否松动、异响，混凝土基础是否破损。</w:t>
      </w:r>
      <w:r/>
    </w:p>
    <w:p>
      <w:pPr>
        <w:ind w:firstLine="480"/>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日常巡查频率宜不少于</w:t>
      </w:r>
      <w:r>
        <w:rPr>
          <w:rFonts w:ascii="TimesNewRomanPSMT" w:hAnsi="TimesNewRomanPSMT"/>
          <w:sz w:val="24"/>
          <w:szCs w:val="24"/>
        </w:rPr>
        <w:t xml:space="preserve">1</w:t>
      </w:r>
      <w:r>
        <w:rPr>
          <w:rFonts w:hint="eastAsia"/>
          <w:sz w:val="24"/>
          <w:szCs w:val="24"/>
        </w:rPr>
        <w:t xml:space="preserve">次</w:t>
      </w:r>
      <w:r>
        <w:rPr>
          <w:rFonts w:ascii="TimesNewRomanPSMT" w:hAnsi="TimesNewRomanPSMT"/>
          <w:sz w:val="24"/>
          <w:szCs w:val="24"/>
        </w:rPr>
        <w:t xml:space="preserve">/</w:t>
      </w:r>
      <w:r>
        <w:rPr>
          <w:rFonts w:hint="eastAsia"/>
          <w:sz w:val="24"/>
          <w:szCs w:val="24"/>
        </w:rPr>
        <w:t xml:space="preserve">天。汛期、冰冻季节、极端天气和交通量增加明显时应增加日常巡查的频率。日常巡查可采用人工与信息化手段相结合的方式。日常巡查中，发现路面有妨碍通行的障碍物或其他异常情况时，应视情况予以清除或上报，并做好记录。记录方式可以文字记录为主，并配合照相或摄像手段辅助。</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2.1.3保洁维护</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1、土建结构应经常性、周期性地进行清洁维护，其周期应综合考虑隧道状况、交通量大小及组成、结构物脏污程度，清洁方式及效率和环境条件等因素加以确定，并尽量减少对交通的干扰。</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2、隧道的顶板、侧墙、防撞墙及内装，设备用房等，应定期进行清洁；管养基地排水设施定期进行保洁。</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（1）顶板的清洁不少于1次/季，侧墙的清洗不少于2 次/月，侧墙设备箱门清洗宜不少于2次/月，标志标识清洁等不少于1次/月，防撞墙表面清洁不少于2次/月，排水设施清洁不少于1次/月，限高龙门架清洁不少于1次/月，扶梯、楼梯、栏杆不少于2次/月，应保持表面无脏污。内装饰、横通道、标识、端墙不少于</w:t>
      </w:r>
      <w:r>
        <w:rPr>
          <w:rFonts w:ascii="宋体" w:hAnsi="宋体" w:cs="宋体"/>
          <w:sz w:val="24"/>
          <w:szCs w:val="24"/>
        </w:rPr>
        <w:t xml:space="preserve">1</w:t>
      </w:r>
      <w:r>
        <w:rPr>
          <w:rFonts w:hint="eastAsia" w:ascii="宋体" w:hAnsi="宋体" w:cs="宋体"/>
          <w:sz w:val="24"/>
          <w:szCs w:val="24"/>
        </w:rPr>
        <w:t xml:space="preserve">次</w:t>
      </w:r>
      <w:r>
        <w:rPr>
          <w:rFonts w:ascii="宋体" w:hAnsi="宋体" w:cs="宋体"/>
          <w:sz w:val="24"/>
          <w:szCs w:val="24"/>
        </w:rPr>
        <w:t xml:space="preserve">/</w:t>
      </w:r>
      <w:r>
        <w:rPr>
          <w:rFonts w:hint="eastAsia" w:ascii="宋体" w:hAnsi="宋体" w:cs="宋体"/>
          <w:sz w:val="24"/>
          <w:szCs w:val="24"/>
        </w:rPr>
        <w:t xml:space="preserve">月。雨污水处理设施不少于</w:t>
      </w:r>
      <w:r>
        <w:rPr>
          <w:rFonts w:ascii="宋体" w:hAnsi="宋体" w:cs="宋体"/>
          <w:sz w:val="24"/>
          <w:szCs w:val="24"/>
        </w:rPr>
        <w:t xml:space="preserve">1</w:t>
      </w:r>
      <w:r>
        <w:rPr>
          <w:rFonts w:hint="eastAsia" w:ascii="宋体" w:hAnsi="宋体" w:cs="宋体"/>
          <w:sz w:val="24"/>
          <w:szCs w:val="24"/>
        </w:rPr>
        <w:t xml:space="preserve">次</w:t>
      </w:r>
      <w:r>
        <w:rPr>
          <w:rFonts w:ascii="宋体" w:hAnsi="宋体" w:cs="宋体"/>
          <w:sz w:val="24"/>
          <w:szCs w:val="24"/>
        </w:rPr>
        <w:t xml:space="preserve">/</w:t>
      </w:r>
      <w:r>
        <w:rPr>
          <w:rFonts w:hint="eastAsia" w:ascii="宋体" w:hAnsi="宋体" w:cs="宋体"/>
          <w:sz w:val="24"/>
          <w:szCs w:val="24"/>
        </w:rPr>
        <w:t xml:space="preserve">年。附属用房楼地面、墙台面</w:t>
      </w:r>
      <w:r>
        <w:rPr>
          <w:rFonts w:ascii="宋体" w:hAnsi="宋体" w:cs="宋体"/>
          <w:sz w:val="24"/>
          <w:szCs w:val="24"/>
        </w:rPr>
        <w:t xml:space="preserve">1</w:t>
      </w:r>
      <w:r>
        <w:rPr>
          <w:rFonts w:hint="eastAsia" w:ascii="宋体" w:hAnsi="宋体" w:cs="宋体"/>
          <w:sz w:val="24"/>
          <w:szCs w:val="24"/>
        </w:rPr>
        <w:t xml:space="preserve">次</w:t>
      </w:r>
      <w:r>
        <w:rPr>
          <w:rFonts w:ascii="宋体" w:hAnsi="宋体" w:cs="宋体"/>
          <w:sz w:val="24"/>
          <w:szCs w:val="24"/>
        </w:rPr>
        <w:t xml:space="preserve">/</w:t>
      </w:r>
      <w:r>
        <w:rPr>
          <w:rFonts w:hint="eastAsia" w:ascii="宋体" w:hAnsi="宋体" w:cs="宋体"/>
          <w:sz w:val="24"/>
          <w:szCs w:val="24"/>
        </w:rPr>
        <w:t xml:space="preserve">周，吊顶、门窗</w:t>
      </w:r>
      <w:r>
        <w:rPr>
          <w:rFonts w:ascii="宋体" w:hAnsi="宋体" w:cs="宋体"/>
          <w:sz w:val="24"/>
          <w:szCs w:val="24"/>
        </w:rPr>
        <w:t xml:space="preserve">1</w:t>
      </w:r>
      <w:r>
        <w:rPr>
          <w:rFonts w:hint="eastAsia" w:ascii="宋体" w:hAnsi="宋体" w:cs="宋体"/>
          <w:sz w:val="24"/>
          <w:szCs w:val="24"/>
        </w:rPr>
        <w:t xml:space="preserve">次</w:t>
      </w:r>
      <w:r>
        <w:rPr>
          <w:rFonts w:ascii="宋体" w:hAnsi="宋体" w:cs="宋体"/>
          <w:sz w:val="24"/>
          <w:szCs w:val="24"/>
        </w:rPr>
        <w:t xml:space="preserve">/</w:t>
      </w:r>
      <w:r>
        <w:rPr>
          <w:rFonts w:hint="eastAsia" w:ascii="宋体" w:hAnsi="宋体" w:cs="宋体"/>
          <w:sz w:val="24"/>
          <w:szCs w:val="24"/>
        </w:rPr>
        <w:t xml:space="preserve">月，地基基础、屋面</w:t>
      </w:r>
      <w:r>
        <w:rPr>
          <w:rFonts w:ascii="宋体" w:hAnsi="宋体" w:cs="宋体"/>
          <w:sz w:val="24"/>
          <w:szCs w:val="24"/>
        </w:rPr>
        <w:t xml:space="preserve">1</w:t>
      </w:r>
      <w:r>
        <w:rPr>
          <w:rFonts w:hint="eastAsia" w:ascii="宋体" w:hAnsi="宋体" w:cs="宋体"/>
          <w:sz w:val="24"/>
          <w:szCs w:val="24"/>
        </w:rPr>
        <w:t xml:space="preserve">次</w:t>
      </w:r>
      <w:r>
        <w:rPr>
          <w:rFonts w:ascii="宋体" w:hAnsi="宋体" w:cs="宋体"/>
          <w:sz w:val="24"/>
          <w:szCs w:val="24"/>
        </w:rPr>
        <w:t xml:space="preserve">/</w:t>
      </w:r>
      <w:r>
        <w:rPr>
          <w:rFonts w:hint="eastAsia" w:ascii="宋体" w:hAnsi="宋体" w:cs="宋体"/>
          <w:sz w:val="24"/>
          <w:szCs w:val="24"/>
        </w:rPr>
        <w:t xml:space="preserve">年。风机房、泵房、配电房、设备检修房、计算机监控房按机电设施的相关规定确定清洁维护频率。</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（2）顶板和侧墙的清洁须以机械作业为主，以人工作业为辅。</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采用湿法清洁，应注意保护隧道内机电设施的安全，防止污水渗入设施内。可根据实际效果选择确定清洁剂，宜选用中性清洁剂。采用干法清洁时，应严格遵守清扫机械操作规程，既应保证清扫质量，也应避免损伤顶板或内装。清扫时应采取必要的降尘措施。对于清扫不能去除的污垢，可用清洁剂进行局部处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（4）泵池盖板油漆不少于1次/年，配电房、设备房地面油漆不少于1次/两年，龙门架等反光贴不少于2次/年。</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（5）检修道内积水应及时排干，每季度1次。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（6）检修道、设备房及泵房每年宜进行防霉1次。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（7）以上根据现场实际情况需要可适当加强。</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当隧道发生交通事故或应急情况(突发火灾、防汛抗台、防雪抗冻、隧道渗漏、停电应急、防恐应急)等下需要及时清理隧道时，中标人须根据中控指令立即组织相应的人员（应急队员）前往事故点进行处置；进入场地的应急队员听从统一指挥，且必须穿戴反光背心等安全防护装备，根据作业现场的不同情况，利用工具，进行路面杂物的清理，清除路面的油污、抛洒物等工作。清理的过程中，及时地向中控室汇报现场的处理情况，以便中控室及时调配人员、材料和工具；当现场清完毕后，确认无误后，服从中控室相关指令有序撤离隧道。</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3、运维范围内的排水设施应定期进行清理和疏通。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（1）管养基地排水管道每半年清理一次，排水井室每月1次。在雨季，应加强对排水设施的检查和清理疏通工作。</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（2）两月疏通落水管1次。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（3）隧道横截沟及边沟两月清理1次，雨季适当加强；泵池清捞每月1次，清淤每年2次，雨季视情况加强。</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（4）隧道及附属设施的雨水泵房、废水泵房排出口每两月检查1次，半年疏通1次，雨季加强疏通，每次疏通至接通市政雨污水井或河道排出口。</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（5）隧道加宽段集水池清淤每日检查，每周清理一次，保持排水畅通。</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2.1.4结构检查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隧道及附属设施的土建设施日常检查，每天不少于1次。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1、土建结构的检查工作分为经常性检查、定期检查、应急检查和专项检查四类。</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2、经常性检查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（1）经常性检查应对土建结构的外观状况进行一般性定性检查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（2）经常性检查宜采用人工与信息化手段相结合的方式, 配以简单的检查工具进行。</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（3）经常性检查以定性判断为主，配合以简单的检查工具进行，并应登记所检查土建结构的缺损类型，估计破损范围程度以及运维工作量，关键部位病害附照片，并提出相应的运维措施。</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（4）经常性检查应制定巡检周期。在遇恶劣天气、汛期、雨季、冰冻等特殊情况，应加强日常检查工作。特殊情况可设专人看护。</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（5）经常性检查中发现隧道存在一般异常情况时,应进行监视、观测或做进一步检查; 当经常检查中发现隧道存在严重异常情况时, 应采取措施进行处治; 当对其产生原因及详细情況不明时, 尚应做定期检查或专项检查。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（6）经常检查应包括下列内容</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A、隧道检查，每月完成1轮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①隧道内顶板及车行道的渗漏水状况；</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②路面检查：有无落物、油污、滞水、结冰；路面拱起、坑洞、开裂、错台等；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③洞口检查：有无积水、积雪；洞口有无挂冰；构造物有无开裂、倾斜、沉陷等；铭牌，装饰是否完整；</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④洞沿检查：结构有无开裂、倾斜、沉陷、错台、起层、剥落；渗漏水、挂冰；</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⑤安全通道检查：结构有无撞坏、破损；盖板有无缺损、平整、松动，地面积水是否排除；</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⑥变电所：是否有渗漏及漏水；地砖、地板、吊顶内装是否损坏；门锁是否损坏等；（每日询问变电所值班人员是否有土建问题）</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⑦排水设施检查：盖板有无松动，横截沟、边沟是否淤塞；</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⑧吊顶和内装检查：有无变形、破损、漏水、脏污、松动；设备箱门、通道门、标志线是否完好；</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⑨防撞墙：结构有无撞坏、破损，事故擦痕。</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B、施工作业情况：有无在隧道区内的施工作业情况；</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C、有无其他较明显的损坏及异常现象；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经常性检查不少于1次/月。检查内容如下（不仅限于）：</w:t>
      </w:r>
      <w:r/>
    </w:p>
    <w:tbl>
      <w:tblPr>
        <w:tblStyle w:val="717"/>
        <w:tblW w:w="916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2157"/>
        <w:gridCol w:w="1960"/>
        <w:gridCol w:w="2403"/>
        <w:gridCol w:w="880"/>
        <w:gridCol w:w="975"/>
      </w:tblGrid>
      <w:tr>
        <w:trPr>
          <w:trHeight w:val="34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vMerge w:val="restar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vMerge w:val="restar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检查内容</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3"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判定描述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vMerge w:val="restar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vMerge w:val="restar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检查结果</w:t>
            </w:r>
            <w:r/>
          </w:p>
        </w:tc>
      </w:tr>
      <w:tr>
        <w:trPr>
          <w:trHeight w:val="450"/>
        </w:trPr>
        <w:tc>
          <w:tcPr>
            <w:tcBorders>
              <w:top w:val="single" w:color="auto" w:sz="4" w:space="0"/>
              <w:left w:val="single" w:color="auto" w:sz="4" w:space="0"/>
              <w:bottom w:val="single" w:color="auto" w:sz="4" w:space="0"/>
              <w:right w:val="single" w:color="auto" w:sz="4" w:space="0"/>
            </w:tcBorders>
            <w:tcW w:w="79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5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一般异常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严重异常</w:t>
            </w:r>
            <w:r/>
          </w:p>
        </w:tc>
        <w:tc>
          <w:tcPr>
            <w:tcBorders>
              <w:top w:val="single" w:color="auto" w:sz="4" w:space="0"/>
              <w:left w:val="single" w:color="auto" w:sz="4" w:space="0"/>
              <w:bottom w:val="single" w:color="auto" w:sz="4" w:space="0"/>
              <w:right w:val="single" w:color="auto" w:sz="4" w:space="0"/>
            </w:tcBorders>
            <w:tcW w:w="88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75" w:type="dxa"/>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20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敞开段</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敞开段侧墙装饰是否存在变形、脱落、松动；侧墙有无开裂、倾斜、挂冰、渗漏等；光过渡建筑是否完好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装饰局部松动；局部挂冰、裂缝、脏污；局部渗漏、结冰尚未妨碍交通；光过渡建筑部分起层、剥落、松动等尚未影响交通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装饰板脱落、严重开裂；侧墙有明显切斜、大范围开裂、存在喷水或挂冰等；光过渡建筑部分结构脱落、变形、挂冰等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rHeight w:val="20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洞口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边（仰）坡有无危石、积水、积雪；洞口有无挂冰；边沟有无淤塞；构造物有无开裂、倾斜、沉陷等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存在落石、积水、积雪隐患；洞口局部挂冰、裂缝；构造物局部开裂、倾斜、沉陷、剥落等有妨碍交通的可能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坡顶落物、积水漫流或积雪崩塌；洞口挂冰掉落路面；构造物因开裂、倾斜或沉陷而致剥落或失稳；边沟淤塞，已妨碍交通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115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洞门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装饰变形、脱落、松动、开裂等；结构开裂、倾斜、沉陷、错台、起层、剥落。渗漏水（挂冰）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装饰变形、松动；侧墙出现起层、剥落；存在渗漏水或结冰，尚未妨碍交通。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装饰板脱落；顶部及其附近部位出现剥落；存在喷水或挂冰等，已妨碍交通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111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vMerge w:val="restar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主体结构</w:t>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结构裂缝、错台、起层，剥落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侧墙起层且侧壁出现剥落状况，尚未妨碍交通，将来可能构成威胁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侧墙起层且出现剥落状况，妨碍交通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630"/>
        </w:trPr>
        <w:tc>
          <w:tcPr>
            <w:tcBorders>
              <w:top w:val="single" w:color="auto" w:sz="4" w:space="0"/>
              <w:left w:val="single" w:color="auto" w:sz="4" w:space="0"/>
              <w:bottom w:val="single" w:color="auto" w:sz="4" w:space="0"/>
              <w:right w:val="single" w:color="auto" w:sz="4" w:space="0"/>
            </w:tcBorders>
            <w:tcW w:w="79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渗漏水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存在渗漏水，尚未妨碍交通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大面积渗漏水或从</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顶板漏水严重，已妨碍交通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570"/>
        </w:trPr>
        <w:tc>
          <w:tcPr>
            <w:tcBorders>
              <w:top w:val="single" w:color="auto" w:sz="4" w:space="0"/>
              <w:left w:val="single" w:color="auto" w:sz="4" w:space="0"/>
              <w:bottom w:val="single" w:color="auto" w:sz="4" w:space="0"/>
              <w:right w:val="single" w:color="auto" w:sz="4" w:space="0"/>
            </w:tcBorders>
            <w:tcW w:w="79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挂冰、冰柱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存在结冰现象，尚未妨碍交通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顶部挂冰，形成冰柱，已妨碍交通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11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路面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落物、油污；滞水或结冰；路面拱起、坑槽、开裂、错台、裂缝、车辙、推移、坑槽和泛油；伸缩缝和横截沟盖板松动、脱落和损坏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存在落物、滞水、结冰、裂缝等，尚未妨碍交通；伸缩缝和盖板仅松动、微小损坏尚未妨碍交通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落物较多，存在大面积路面滞水、结冰或裂缝，伸缩缝和盖板脱落、损坏已妨碍交通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12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检修道、横通道</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结构破损；盖板、检查井井盖缺损；路面杂物、垃圾、积水，路面拱起、坑槽、开裂、错台，栏杆变形、损坏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栏杆变形、损坏；结构存在破损，盖板局部缺失；路面存在杂物、垃圾、积水，尚未妨碍交通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栏杆局部毁坏或侵入建筑限界；道路结构破损严重，盖板缺失较多路面拱起、坑槽、开裂、错台，已妨碍交通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111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排水设施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缺损、堵塞、积水、结冰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存在缺损、积水或结冰，尚未妨碍交通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沟管堵塞，积水漫流，结冰，设施缺损严重，已妨碍交通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10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吊顶及各种预埋件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变形、缺损、漏水（挂冰）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存在缺损、漏水，尚未妨碍交通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缺损严重，或从吊顶板漏水严重，已妨碍交通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72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内装饰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脏污、变形、缺损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存在缺损、局部脱落，尚未妨碍交通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缺损、脱落严重，已妨碍交通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9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接缝</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（施工缝、变形缝）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接缝压溃、错台；止水带外露、脱落；渗漏水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存在渗漏水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存在压溃、错台，并有进一步发展的趋势；渗漏水漫流至路面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bl>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3、土建定期检查（隧道沉降观测与结构健康诊断除外）</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（1）隧道定期检查，频次为每季度一次。主要内容为：</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①路面(包括水泥混凝土和沥青混凝土)：测定平整度等指标，采用仪器进行检测（根据</w:t>
      </w:r>
      <w:r>
        <w:rPr>
          <w:rFonts w:hint="eastAsia" w:ascii="宋体" w:hAnsi="宋体" w:cs="宋体"/>
          <w:sz w:val="24"/>
          <w:szCs w:val="24"/>
          <w:lang w:val="en-US" w:eastAsia="zh-CN"/>
        </w:rPr>
        <w:t xml:space="preserve">具体情况</w:t>
      </w:r>
      <w:r>
        <w:rPr>
          <w:rFonts w:hint="eastAsia" w:ascii="宋体" w:hAnsi="宋体" w:cs="宋体"/>
          <w:sz w:val="24"/>
          <w:szCs w:val="24"/>
        </w:rPr>
        <w:t xml:space="preserve">确定）。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②混凝土结构：检查变形、缺损、裂缝、腐蚀、渗漏等情况。</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③排水设施：检查沟槽、管道的畅通、完好状况，盖板是否翘起、损坏、声响。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④敞开段：检查变形、缺损、裂缝、渗漏等状况。</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（2）定期检查结果应及时记录，应将检查数据及病害应详细、准确地记录，分析病害的成因，给出判定结论。</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（3）定期检查的情况记录、以及运维维修管理措施的建议，均应及时整理、归档。</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（4）定期检查完成后，应提出土建结构定期检查报告，内容应包括：</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①实地判断损坏原因，估计维修范围和方案，需要采取处治措施的建议。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②对土建结构的技术状况和功能状态的进行评估。</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③对土建结构的运维维修状况的评估及建议。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④对难以判断其损坏程度和原因的构件，需要实施专项检测的建议。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⑤根据城市隧道技术状况，确定下次检查的时间。</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⑥应附上检查记录表、隧道展示图以及其他有关检测记录资料。</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定期检查不少于2次/年。定期检查内容如下（不仅限于）：</w:t>
      </w:r>
      <w:r/>
    </w:p>
    <w:tbl>
      <w:tblPr>
        <w:tblStyle w:val="717"/>
        <w:tblW w:w="916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7045"/>
        <w:gridCol w:w="1059"/>
      </w:tblGrid>
      <w:tr>
        <w:trPr>
          <w:trHeight w:val="4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检查结果</w:t>
            </w:r>
            <w:r/>
          </w:p>
        </w:tc>
      </w:tr>
      <w:tr>
        <w:trPr>
          <w:trHeight w:val="1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敞开段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侧墙装饰脏污、缺损、松动、脱落的范围和程度；光过渡建筑脏污、缺损、松动、脱落、锈蚀等范围和程度；顶部落物范围及体量等；结构开裂宽度、错位量；裂缝位置、宽度、长</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度等；渗漏水位置、水量、浑浊、冻结情况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rHeight w:val="1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洞口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护坡、挡土墙的裂缝、断缝、倾斜、鼓肚、滑动、下沉的位置、范围及其程度，有无表面风化、泄水孔堵塞、墙后积水、地基错台、空隙等现象及其程度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洞门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墙身裂缝的位置、宽度、长度、范围或程度</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结构倾斜、沉陷、断裂范围、变位量、发展趋势</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洞门与洞身连接处环向裂缝开展情况、外倾趋势</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混凝土起层、剥落的范围和深度，钢筋有无外露、受到锈蚀</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墙背填料流失范围和程度</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墙面装饰材料脏污、缺损、松动范围和程度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1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主体结构</w:t>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混凝土裂缝的位置、宽度、长度、范围或程度，</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墙身变形缝开裂宽度、错位量；</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结构表面起层、剥落范围和深度；</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渗漏水位置、水量、浑浊、冻结情况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路面起拱、沉陷、错台、开裂、溜滑、裂缝、车辙和推移、坑槽和泛油的范围和程度；路面积水、结冰等范围和程度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检修通道、横通道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检修道毁坏、盖板缺损的位置和状况；栏杆变形、锈蚀、缺损等的位置和状况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排水系统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结构缺损程度，窨井、横向排水沟、纵向排水沟篦子等完好程度，沟管开裂漏水状况；排水沟（管）、泵房集水池等淤积堵塞、沉砂、滞水、结冰等状况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吊顶及各种预埋件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吊顶板变形、缺损、脱落的位置和程度；</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吊杆等预埋件是否完好，有无锈蚀、脱落等危及安全的现象及其程度；</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漏水（挂冰）范围及程度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内装饰、防火板、大理石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表面脏污、缺损的范围和程度；装饰板变形、缺损的范围和程度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标志、标识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外观缺损、表面脏污状况，有无锈蚀、脱落等危险，连接件牢固状况、光度是否满足要求等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675"/>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混凝土结构、管片</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是否变形、缺损、裂缝、腐蚀、渗漏、外露钢筋</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8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接缝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5" w:type="dxa"/>
            <w:vAlign w:val="center"/>
            <w:textDirection w:val="lrTb"/>
            <w:noWrap w:val="false"/>
          </w:tcPr>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施工缝、变形缝处渗漏水位置、水量、浑浊程度、湿润面积；</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施工缝、变形缝的错台位置和相对错台量；</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施工缝、变形缝的压溃位置、范围和程度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55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人行通道</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路面、侧墙、排水系统等是否有变形、缺损、裂缝、渗漏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bl>
    <w:p>
      <w:pPr>
        <w:ind w:firstLine="525"/>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4、土建应急检查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应通过应急检查,及时掌握结构受损情况,为采取对策措施提供依据,并应符合下列规定: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（1）应根据受异常事件影响的结构,决定采取的检查方法、工具和设备。</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（2）应急检查的内容和方法原则上应与定期检查相同, 但应针对发生异常情况或者受异常事件影响的结构或结构部位做重点检查, 以掌握其受损情况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（3）检查的评定标准,应与定期检查相同。当难以判明缺损的原因、程度等情况时, 应做专项检查。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（4）检查结果的记录,应与定期检查相同。检查完成后,应编制应急检查报告,总结检查内容和结果, 评估异常事件的影响, 确定合理的对策措施。</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5、土建专项检查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应通过专项检查, 完整掌握缺损.或病害的详细资料, 为其是否实施处治以及采取何种处治措施等提供技术依据,并应符合下列规定: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（1）检查的项目、内容及其要求,应根据经常检查、定期检查或应急检查的结果有针对性地确定.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（2）检查人员应对有关的技术资料、档案进行调查,并对隧道周围的地质及地表环境等展开实地调查。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（3）对严重不良地质地段、重大结构病害或隐患处, 宜开展运营期长期监测, 对其结构变形、受力和地下水状态等进行长期观测。监测频率宜取经常检查的频率, 当发现监测参数在快速发展变化时, 观测频率应提高。</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（4）检查完成后,应编制专项检查报告, 报告内容应包括:</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A、检查的主要经过,包括检查的组织实施、时间和主要工作过程等。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B、所检查结构的技术状况,包括检查方法、试验与检测项目及内容、检测数据与结果分析以及缺损状态评价等。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C、对缺损或病害的成因、范围、程度等情况的分析,及其维修处治对策、技术以及所需工程量和费用等建议。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2.1.5维修保养及病害处置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土建结构的保养维修工作主要包括经常性或预防性的保养和轻微破损部分的维修等内容，以恢复和保持结构的良好使用状态。病害处治应根据结构检查结果，针对病害产生原因，按照安全、经济、合理的原因则确定方案。处治方案可由一种或多种处治方法组成（包括堵漏注浆方法等），具体措施由中标人视具体情况制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1、路面的保养维修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（1）路面运维，要求无坑塘、无拥包、无开裂，破损率小于1‰，且每处不大于0.1㎡，平整度小于5mm。</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（2）路面更新后的横坡和纵坡，应满足排水要求。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（3）路面出现渗漏水时，应及时处理，将水引入边沟排出，防止路面积水或结冰。</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（4）冬季应及时清除洞口、匝道处路面积雪结冰，顶部的挂冰。</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（5）隧道变形缝处的沥青混凝土路面裂缝应及时嵌缝修复。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（6）沥青砼路面的运维维修，应参照《城镇道路运维技术规范》(CJJ36-2006)执行。</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2、排水设施的保养维护</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（1）维护隧道及附属设施排水设施的完好，发现损坏及时修复；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（2）排水管堵塞时，可用高压或压缩空气疏通。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（3）隧道内横截沟及边沟两月开启1次，其螺栓加油保养两月1次，发现损坏及时更换，管养基地雨水篦每月清捞一次。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（4）维护落水管的完好，发现损坏及时修复，冬季应清除挂冰。</w:t>
      </w:r>
      <w:r/>
    </w:p>
    <w:p>
      <w:pPr>
        <w:ind w:firstLine="480"/>
        <w:rPr>
          <w:rFonts w:hint="eastAsia" w:ascii="TimesNewRomanPSMT" w:hAnsi="TimesNewRomanPSMT"/>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rPr>
          <w:rFonts w:hint="eastAsia"/>
          <w:sz w:val="24"/>
          <w:szCs w:val="24"/>
        </w:rPr>
        <w:t xml:space="preserve">应及时修复、更换损坏的边沟或其他设施盖板。当路面出现渗漏水时，应及时处理，并将水引入边沟排出，防止路面积水或结冰。</w:t>
      </w:r>
      <w:r>
        <w:rPr>
          <w:rFonts w:ascii="TimesNewRomanPSMT" w:hAnsi="TimesNewRomanPSMT"/>
          <w:sz w:val="24"/>
          <w:szCs w:val="24"/>
        </w:rPr>
        <w:t xml:space="preserve">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（6）应保持隧道排水设施完好，发现破损或缺失应及时修复。 应及时清理排水边沟、泵房等排水设施中的堆积物，不定期检查排水沟盖板和沟墙，及时修复破损、翘曲的盖板。冬季应及时清除排水沟内结冰堵塞。排水的金属管道应定期做好防腐处理。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3、隧道及其附属设施的伸缩缝</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（1）伸缩缝应经常运维，如清除碎石、泥土杂物，填塞嵌缝料；拧紧螺栓，并加油保护；修理个别损坏部分等，使其发挥正常作用。若有损坏或功能失效要及时修理或更换。</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（2）钢板伸缩缝应拧紧连接螺栓，若钢板变形、螺栓脱落、伸缩不能正常进行时应及时拆除更换。</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（3）若橡胶条老化、脱落、固定角钢变形、松动，则应及时拆除更换。</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（4）维修或更换伸缩缝时，应采取相应措施维持交通。如分两半幅施工，应在伸缩缝上架设跨缝设施等。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4、交通标志、标线的运维维修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（1）隧道内的交通标志应经常保持外观完整、清晰、醒目，保持位置、高度和角度适当，确保交通信息传递无误。</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（2）应及时清洗标志牌面的脏污，清除遮挡标志的障碍。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（3）及时修复变形、破损的标牌、标志、标线，修复弯曲、倾斜的支柱，紧固松动的链接构</w:t>
      </w:r>
      <w:r>
        <w:rPr>
          <w:rFonts w:hint="eastAsia" w:ascii="宋体" w:hAnsi="宋体" w:cs="宋体"/>
          <w:sz w:val="24"/>
          <w:szCs w:val="24"/>
          <w:lang w:val="en-US" w:eastAsia="zh-CN"/>
        </w:rPr>
        <w:t xml:space="preserve">件</w:t>
      </w:r>
      <w:r>
        <w:rPr>
          <w:rFonts w:hint="eastAsia" w:ascii="宋体" w:hAnsi="宋体" w:cs="宋体"/>
          <w:sz w:val="24"/>
          <w:szCs w:val="24"/>
        </w:rPr>
        <w:t xml:space="preserve">。</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（4）对锈蚀损坏、老化失效的标志，应及时更换，缺失的应及时补充。</w:t>
      </w:r>
      <w:r/>
    </w:p>
    <w:p>
      <w:pPr>
        <w:ind w:firstLine="480"/>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rPr>
          <w:rFonts w:hint="eastAsia"/>
          <w:sz w:val="24"/>
          <w:szCs w:val="24"/>
        </w:rPr>
        <w:t xml:space="preserve">应及时清除隧道路面上的塌</w:t>
      </w:r>
      <w:r>
        <w:rPr>
          <w:rFonts w:ascii="TimesNewRomanPSMT" w:hAnsi="TimesNewRomanPSMT"/>
          <w:sz w:val="24"/>
          <w:szCs w:val="24"/>
        </w:rPr>
        <w:t xml:space="preserve">(</w:t>
      </w:r>
      <w:r>
        <w:rPr>
          <w:rFonts w:hint="eastAsia"/>
          <w:sz w:val="24"/>
          <w:szCs w:val="24"/>
        </w:rPr>
        <w:t xml:space="preserve">散</w:t>
      </w:r>
      <w:r>
        <w:rPr>
          <w:rFonts w:ascii="TimesNewRomanPSMT" w:hAnsi="TimesNewRomanPSMT"/>
          <w:sz w:val="24"/>
          <w:szCs w:val="24"/>
        </w:rPr>
        <w:t xml:space="preserve">)</w:t>
      </w:r>
      <w:r>
        <w:rPr>
          <w:rFonts w:hint="eastAsia"/>
          <w:sz w:val="24"/>
          <w:szCs w:val="24"/>
        </w:rPr>
        <w:t xml:space="preserve">落物和堆积物。</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5、隧道侧墙装饰板的维护</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（1）每日全线检查侧墙板1次，发现损坏及时修复。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（2）侧墙装饰板嵌缝须经常检查，发现脱落及时修复。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（3）经常检查隧道变形缝处的装饰板升温回位情况，确保压条压住装饰板，防止装饰板伸长时受到阻碍导致装饰板损坏。</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（4）装饰板压条及铆钉翘起的须及时调整归位，须保持装饰板面平滑，刃口须打胶处理，防止损坏洗清墙车毛刷。</w:t>
      </w:r>
      <w:r/>
    </w:p>
    <w:p>
      <w:pPr>
        <w:ind w:firstLine="480"/>
        <w:rPr>
          <w:rFonts w:hint="eastAsia" w:ascii="TimesNewRomanPSMT" w:hAnsi="TimesNewRomanPSMT"/>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（5）搪瓷钢板需检查固定件是否牢固、变形，防止生锈损坏。</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6、隧道侧墙大理石</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（1）每日检查不少于1次，发现损坏及时修复。</w:t>
      </w:r>
      <w:r/>
    </w:p>
    <w:p>
      <w:pPr>
        <w:ind w:firstLine="480"/>
        <w:rPr>
          <w:rFonts w:ascii="宋体" w:hAnsi="宋体" w:cs="宋体"/>
          <w:sz w:val="24"/>
          <w:szCs w:val="24"/>
        </w:rPr>
      </w:pPr>
      <w:r>
        <w:rPr>
          <w:rFonts w:hint="eastAsia" w:ascii="宋体" w:hAnsi="宋体" w:cs="宋体"/>
          <w:sz w:val="24"/>
          <w:szCs w:val="24"/>
        </w:rPr>
        <w:t xml:space="preserve">（2）更换的大理石色彩、强度、块型、尺寸应与原大理石板块一致。</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7、隧道洞口及敞开段的保养维修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（1）要求隧道洞口无杂物、浮土，敞开段保持清洁。</w:t>
      </w:r>
      <w:r/>
    </w:p>
    <w:p>
      <w:pPr>
        <w:ind w:firstLine="480"/>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（2）冬季时应清除积雪和结冰，保证洞顶无挂冰现象。保持洞口、敞开段边沟的完好、通畅，</w:t>
      </w:r>
      <w:r>
        <w:rPr>
          <w:rFonts w:hint="eastAsia"/>
          <w:sz w:val="24"/>
          <w:szCs w:val="24"/>
        </w:rPr>
        <w:t xml:space="preserve">应及时清除隧道范围内两侧绿化带或道路的垃圾，避免坠入隧道内。</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hint="eastAsia"/>
          <w:sz w:val="24"/>
          <w:szCs w:val="24"/>
        </w:rPr>
        <w:t xml:space="preserve">应及时修复、添补缺损的护栏、护墙。对隧道出现的混凝土起层、剥离，应及时清除，及时修补裂缝，并设立观测标记进行跟踪观测。</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8、吊顶和内装的保养维护</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（1）吊顶和内装应保持完好和整洁美观，如有破损、缺失应及时修补恢复，不能修复的应及时更新。</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（2）如隧道堵漏需拆除装饰板，则由中标人进行拆除和恢复，费用包含在报价中（质保范围内维修由原施工单位负责，中标人负责跟踪检查）。</w:t>
      </w:r>
      <w:r/>
    </w:p>
    <w:p>
      <w:pPr>
        <w:ind w:firstLine="480"/>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（3）应清理送</w:t>
      </w:r>
      <w:r>
        <w:rPr>
          <w:rFonts w:ascii="TimesNewRomanPSMT" w:hAnsi="TimesNewRomanPSMT"/>
          <w:sz w:val="24"/>
          <w:szCs w:val="24"/>
        </w:rPr>
        <w:t xml:space="preserve">(</w:t>
      </w:r>
      <w:r>
        <w:rPr>
          <w:rFonts w:hint="eastAsia"/>
          <w:sz w:val="24"/>
          <w:szCs w:val="24"/>
        </w:rPr>
        <w:t xml:space="preserve">排</w:t>
      </w:r>
      <w:r>
        <w:rPr>
          <w:rFonts w:ascii="TimesNewRomanPSMT" w:hAnsi="TimesNewRomanPSMT"/>
          <w:sz w:val="24"/>
          <w:szCs w:val="24"/>
        </w:rPr>
        <w:t xml:space="preserve">)</w:t>
      </w:r>
      <w:r>
        <w:rPr>
          <w:rFonts w:hint="eastAsia"/>
          <w:sz w:val="24"/>
          <w:szCs w:val="24"/>
        </w:rPr>
        <w:t xml:space="preserve">风口的网罩，清除堵塞网眼的杂物；应定期保养风道板吊杆，防止其锈蚀或损坏；应及时修复风口或风道的 破损，更换损坏的风道板。</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（4）吊顶和内装饰应保持完好和整洁美观，当有破损、缺失时，应及时修补恢复，不能修复的应及时更换。各种预埋件和桥架应保持完好、坚固、无锈蚀，当有缺损时，应及时更换或加固。 顶部防火板应表面平整、锚固牢靠，当存在脱落风险时，应尽快 进行加固或更换。</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9、隧道防水堵漏</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（1）应指定专人负责隧道渗漏的日常巡视、巡检，发现渗漏后在夜间封闭期间内完成引流，确保“隧道运行期间顶板不滴漏”，避免社会负面影响。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（2）隧道渗漏处理原则上在夜间进行，如辅助堵漏需拆除装饰板（防火板或装饰板等）和接水盒，原则上谁拆除谁恢复，随时拆除随时恢复。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（3）中标人应配堵漏专业现场旁站员，负责防水单位堵漏过程控制和工程数量的确认。</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（4）堵漏第2天上报堵漏计量单，由中标人土建工程师复核后，当天上报采购单位。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（5）加强隧道接水盒的疏通检查（接水盒盖在防火板和装饰板等下的，须采取措施进行疏通），确保渗漏能够及时引走。</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（6）加强堵漏现场管理，做到施工无污染。</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（7）对于洞内的渗漏水要求，渗漏水量应小于设计规定，并及时将水流引入边沟排出。</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10、检修道的保养维护</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（1）检修道的运维要求：破损小于1‰，每处不大于0.5 ㎡；平整度小于5 mm；道路不得积水。</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（2）路面要经常保持平整，发现破碎、坑洞、翘动、松动等局部缺损，要及时修补。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hint="eastAsia"/>
          <w:sz w:val="24"/>
          <w:szCs w:val="24"/>
        </w:rPr>
        <w:t xml:space="preserve">横通道内严禁存放任何非救援用物品，应及时清除散落杂物，修复轻微破损结构；应定期保养横通道门，保证横通道清洁、畅通。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2.1.6附属设施及其他</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1、主要包括污水处理设施、隧道附属的房屋设施、电动门等；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2、管理用房污水排放顺畅排入城市主排污管网内。</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3、隧道附属的房屋设施包括为隧道运行服务的生产、生活用房。</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4、管养基地房屋的运维应符合以下要求：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（1）房屋屋面及墙体如发生渗漏应及时维修，并符合以下要求：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①屋面</w:t>
      </w:r>
      <w:r>
        <w:rPr>
          <w:rFonts w:hint="eastAsia" w:ascii="宋体" w:hAnsi="宋体" w:cs="宋体"/>
          <w:sz w:val="24"/>
          <w:szCs w:val="24"/>
          <w:lang w:val="en-US" w:eastAsia="zh-CN"/>
        </w:rPr>
        <w:t xml:space="preserve">渗漏</w:t>
      </w:r>
      <w:r>
        <w:rPr>
          <w:rFonts w:hint="eastAsia" w:ascii="宋体" w:hAnsi="宋体" w:cs="宋体"/>
          <w:sz w:val="24"/>
          <w:szCs w:val="24"/>
        </w:rPr>
        <w:t xml:space="preserve">维修工程应根据房屋防水等级、使用要求、渗漏现象及部分，查清渗漏原因，找准漏点，制定相应的维修方案；</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②选用材料应与原防水层相容，与基层应结合牢固；</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③屋面防水层维修完成后应平整，不得积水、渗漏；</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墙体渗漏维修前，应对渗漏墙体的墙面、外部粉刷分格缝、门窗框周围、窗台、穿墙管道根部、阳台和雨棚与墙体的连接处、变形缝等渗漏部分进行现场查勘。确定渗漏部位，查明渗漏原因，制定相应的维修方案；</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⑤墙体维修后不得出现渗漏水现象，应在完工3天后进行检验，墙面冲水或雨淋2小时无渗漏水。</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（2）屋面墙体粉刷后，起壳、剥落、疏松等损坏部分应凿除并清理干净后重新粉刷。`</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（3）房屋损坏的窗门应及时修理或更换。</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（4）房屋的钢结构应定期维护，清除锈蚀，并按规定刷涂防锈漆和油漆。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（5）风机房、变电所等房屋应做到地面无积尘和油污。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5、保持房屋及其周围环境的整洁、美观，周围场地应排水通畅。</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6、防雷接地装置如有损坏、锈蚀应及时运维维修，并符合以下要求：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（1）修换防雷接地装置前，应对接地体进行接地电阻测试，接地线和接地体焊接开焊、断裂的应修换，完好的应除锈刷防锈漆。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（2）接地体锈蚀严重无法修复时，按查勘设计换装</w:t>
      </w:r>
      <w:r>
        <w:rPr>
          <w:rFonts w:hint="eastAsia" w:ascii="宋体" w:hAnsi="宋体" w:cs="宋体"/>
          <w:sz w:val="24"/>
          <w:szCs w:val="24"/>
          <w:lang w:val="en-US" w:eastAsia="zh-CN"/>
        </w:rPr>
        <w:t xml:space="preserve">新</w:t>
      </w:r>
      <w:r>
        <w:rPr>
          <w:rFonts w:hint="eastAsia" w:ascii="宋体" w:hAnsi="宋体" w:cs="宋体"/>
          <w:sz w:val="24"/>
          <w:szCs w:val="24"/>
        </w:rPr>
        <w:t xml:space="preserve">接地体。</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（3）修换防雷装置前，对避雷网（带）、引下线等发生开焊、变形的应修复，对防锈漆脱落的应除锈刷漆。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（4）修换接地装置及固件均宜采用镀锌制品，各部连接点应牢固可靠。</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7、防冻保温设施的维修保养不少于1次/年。</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8、出入口电动门维修保养不少于1次/月，保洁不少于1次/月，应保证外观无污损。</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9、出入口岗亭保洁不少于1次/月，应保证外观无污损。</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pStyle w:val="709"/>
        <w:ind w:firstLine="482"/>
        <w:rPr>
          <w:rFonts w:ascii="宋体" w:hAnsi="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2.2机电专业</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机电运维基本目标</w:t>
      </w:r>
      <w:r/>
    </w:p>
    <w:tbl>
      <w:tblPr>
        <w:tblStyle w:val="717"/>
        <w:tblW w:w="825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1680"/>
        <w:gridCol w:w="1599"/>
        <w:gridCol w:w="1761"/>
        <w:gridCol w:w="2123"/>
      </w:tblGrid>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细类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目标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备注</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0"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总体</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安全畅通、经济高效、整洁优美</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0"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设施完好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消防救援系统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完好率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tcBorders>
              <w:top w:val="single" w:color="auto" w:sz="4" w:space="0"/>
              <w:left w:val="single" w:color="auto" w:sz="4" w:space="0"/>
              <w:bottom w:val="single" w:color="auto" w:sz="4" w:space="0"/>
              <w:right w:val="single" w:color="auto" w:sz="4" w:space="0"/>
            </w:tcBorders>
            <w:tcW w:w="109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雨季排水系统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完好率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tcBorders>
              <w:top w:val="single" w:color="auto" w:sz="4" w:space="0"/>
              <w:left w:val="single" w:color="auto" w:sz="4" w:space="0"/>
              <w:bottom w:val="single" w:color="auto" w:sz="4" w:space="0"/>
              <w:right w:val="single" w:color="auto" w:sz="4" w:space="0"/>
            </w:tcBorders>
            <w:tcW w:w="109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供配电系统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完好率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且不影响正常使用</w:t>
            </w:r>
            <w:r/>
          </w:p>
        </w:tc>
      </w:tr>
      <w:tr>
        <w:trPr/>
        <w:tc>
          <w:tcPr>
            <w:tcBorders>
              <w:top w:val="single" w:color="auto" w:sz="4" w:space="0"/>
              <w:left w:val="single" w:color="auto" w:sz="4" w:space="0"/>
              <w:bottom w:val="single" w:color="auto" w:sz="4" w:space="0"/>
              <w:right w:val="single" w:color="auto" w:sz="4" w:space="0"/>
            </w:tcBorders>
            <w:tcW w:w="109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其他系统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完好率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且不影响正常使用</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70"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保养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计划完成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工作质量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70"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及时发现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〈15分钟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应急抢修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〈半小时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正常维修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工作质量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70"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应急处置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及时发现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〈3分钟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正确处置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0错误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一般险情排除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〈30分钟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意外损失追偿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&gt;95%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7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社会满意率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&gt;95%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7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安全生产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责任事故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70"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节能降耗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成本递减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合理范围内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排除老化影响</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能耗浪费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70"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员工培训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持证上岗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特种作业</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岗前培训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安全培训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&gt;10小时/人.月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技能培训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&gt;15小时/人.月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bl>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注：完好率= 1- (设备故障台数*故障天数)/(设备总台数*日历天数)*100%</w:t>
      </w:r>
      <w:r/>
    </w:p>
    <w:p>
      <w:r/>
      <w:r/>
    </w:p>
    <w:p>
      <w:pPr>
        <w:pStyle w:val="709"/>
        <w:ind w:firstLine="482"/>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2.2.1供配电系统</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2.2.1.1主要运维范围及要求</w:t>
      </w:r>
      <w:r/>
    </w:p>
    <w:p>
      <w:pPr>
        <w:ind w:firstLine="480"/>
      </w:pPr>
      <w:r>
        <w:rPr>
          <w:rFonts w:hint="eastAsia" w:ascii="宋体" w:hAnsi="宋体" w:cs="宋体"/>
          <w:sz w:val="24"/>
          <w:szCs w:val="24"/>
        </w:rPr>
        <w:t xml:space="preserve">1、运维范围</w:t>
      </w:r>
      <w:r/>
    </w:p>
    <w:p>
      <w:pPr>
        <w:ind w:firstLine="480"/>
        <w:jc w:val="left"/>
        <w:rPr>
          <w:sz w:val="24"/>
          <w:szCs w:val="24"/>
        </w:rPr>
      </w:pPr>
      <w:r>
        <w:rPr>
          <w:rFonts w:hint="eastAsia"/>
          <w:sz w:val="24"/>
          <w:szCs w:val="24"/>
        </w:rPr>
        <w:t xml:space="preserve">供配电设施主要包括：高压断路器、高压互感器与避雷器柜、高压隔离开关和负荷开关、电力变压器、电力电容器柜、低压开关柜、照明控制箱、风机启动及控制箱、电力电缆、电缆托架及支架、配电房构件、接地装置、接地电阻、直流电源、</w:t>
      </w:r>
      <w:r>
        <w:rPr>
          <w:rFonts w:ascii="TimesNewRomanPSMT" w:hAnsi="TimesNewRomanPSMT"/>
          <w:sz w:val="24"/>
          <w:szCs w:val="24"/>
        </w:rPr>
        <w:t xml:space="preserve">UPS</w:t>
      </w:r>
      <w:r>
        <w:rPr>
          <w:rFonts w:hint="eastAsia"/>
          <w:sz w:val="24"/>
          <w:szCs w:val="24"/>
        </w:rPr>
        <w:t xml:space="preserve">电源等。包含供配电管理系统和电器火灾监控系统的相关运行维护保障工作以及两套系统数据流量费及两系统维保服务费。</w:t>
      </w:r>
      <w:r/>
    </w:p>
    <w:p>
      <w:pPr>
        <w:ind w:firstLine="480"/>
        <w:rPr>
          <w:sz w:val="24"/>
          <w:szCs w:val="24"/>
        </w:rPr>
      </w:pPr>
      <w:r>
        <w:rPr>
          <w:rFonts w:hint="eastAsia"/>
          <w:sz w:val="24"/>
          <w:szCs w:val="24"/>
        </w:rPr>
        <w:t xml:space="preserve">运河路路隧道供电系统由位于运河西路与运河南路交叉口东南侧景观式地埋箱变负责供电。</w:t>
      </w:r>
      <w:r/>
    </w:p>
    <w:p>
      <w:pPr>
        <w:ind w:firstLine="480"/>
        <w:rPr>
          <w:sz w:val="24"/>
          <w:szCs w:val="24"/>
        </w:rPr>
      </w:pPr>
      <w:r>
        <w:rPr>
          <w:rFonts w:hint="eastAsia"/>
          <w:sz w:val="24"/>
          <w:szCs w:val="24"/>
        </w:rPr>
        <w:t xml:space="preserve">文昌中路供电系统由位于文昌中路与运河北路交叉口东南侧景观式地埋箱变负责供电。</w:t>
      </w:r>
      <w:r/>
    </w:p>
    <w:p>
      <w:pPr>
        <w:ind w:firstLine="480"/>
        <w:rPr>
          <w:sz w:val="24"/>
          <w:szCs w:val="24"/>
        </w:rPr>
      </w:pPr>
      <w:r>
        <w:rPr>
          <w:rFonts w:hint="eastAsia"/>
          <w:sz w:val="24"/>
          <w:szCs w:val="24"/>
        </w:rPr>
        <w:t xml:space="preserve">万福西路隧道供电系统由位于运河北路（骏和天城小区东门）中央绿化带内的景观式地埋箱变负责供电。</w:t>
      </w:r>
      <w:r/>
    </w:p>
    <w:p>
      <w:pPr>
        <w:ind w:firstLine="480"/>
        <w:rPr>
          <w:sz w:val="24"/>
          <w:szCs w:val="24"/>
        </w:rPr>
      </w:pPr>
      <w:r>
        <w:rPr>
          <w:rFonts w:hint="eastAsia"/>
          <w:sz w:val="24"/>
          <w:szCs w:val="24"/>
        </w:rPr>
        <w:t xml:space="preserve">平山隧道隧道供电系统由位于瘦西湖路与江平东路交叉口东北侧景观式地埋箱变负责供电。</w:t>
      </w:r>
      <w:r/>
    </w:p>
    <w:p>
      <w:pPr>
        <w:ind w:firstLine="480"/>
        <w:rPr>
          <w:sz w:val="24"/>
          <w:szCs w:val="24"/>
        </w:rPr>
      </w:pPr>
      <w:r>
        <w:rPr>
          <w:rFonts w:hint="eastAsia"/>
          <w:sz w:val="24"/>
          <w:szCs w:val="24"/>
        </w:rPr>
        <w:t xml:space="preserve">雷塘路隧道供电系统由位于江平东路与雷塘路交汇处中央绿化带内的景观式地埋箱变负责供电。</w:t>
      </w:r>
      <w:r/>
    </w:p>
    <w:p>
      <w:pPr>
        <w:ind w:firstLine="480"/>
        <w:rPr>
          <w:sz w:val="24"/>
          <w:szCs w:val="24"/>
        </w:rPr>
      </w:pPr>
      <w:r>
        <w:rPr>
          <w:rFonts w:hint="eastAsia"/>
          <w:sz w:val="24"/>
          <w:szCs w:val="24"/>
        </w:rPr>
        <w:t xml:space="preserve">相别路隧道供电系统由位于相别路与江平路交叉口西北侧的景观式地埋箱变负责供电。地埋变内设置有高压柜、变压器、低压总开关和低压塑壳断路器等。</w:t>
      </w:r>
      <w:r/>
    </w:p>
    <w:p>
      <w:pPr>
        <w:ind w:firstLine="480"/>
        <w:rPr>
          <w:sz w:val="24"/>
          <w:szCs w:val="24"/>
        </w:rPr>
      </w:pPr>
      <w:r>
        <w:rPr>
          <w:rFonts w:hint="eastAsia"/>
          <w:sz w:val="24"/>
          <w:szCs w:val="24"/>
        </w:rPr>
        <w:t xml:space="preserve">龙城路隧道供电系统由位于金湾路与龙城路交叉口东南侧变电所负责供电。</w:t>
      </w:r>
      <w:r/>
    </w:p>
    <w:p>
      <w:pPr>
        <w:ind w:firstLine="480"/>
        <w:rPr>
          <w:sz w:val="24"/>
          <w:szCs w:val="24"/>
        </w:rPr>
      </w:pPr>
      <w:r>
        <w:rPr>
          <w:rFonts w:hint="eastAsia"/>
          <w:sz w:val="24"/>
          <w:szCs w:val="24"/>
        </w:rPr>
        <w:t xml:space="preserve">运河路隧道管养基地供电系统由位于运河北路与江广快速路辅路交叉口西北侧变电所供电。</w:t>
      </w:r>
      <w:r/>
    </w:p>
    <w:p>
      <w:pPr>
        <w:ind w:firstLine="480"/>
        <w:rPr>
          <w:sz w:val="24"/>
          <w:szCs w:val="24"/>
        </w:rPr>
      </w:pPr>
      <w:r>
        <w:rPr>
          <w:rFonts w:hint="eastAsia"/>
          <w:sz w:val="24"/>
          <w:szCs w:val="24"/>
        </w:rPr>
        <w:t xml:space="preserve">邗江路隧道供电系统由位于邗江路和南部快速通道交叉口中央绿化带内的景观式地埋箱变负责供电。</w:t>
      </w:r>
      <w:r/>
    </w:p>
    <w:p>
      <w:pPr>
        <w:ind w:firstLine="480"/>
        <w:rPr>
          <w:sz w:val="24"/>
          <w:szCs w:val="24"/>
        </w:rPr>
      </w:pPr>
      <w:r>
        <w:rPr>
          <w:rFonts w:hint="eastAsia"/>
          <w:sz w:val="24"/>
          <w:szCs w:val="24"/>
        </w:rPr>
        <w:t xml:space="preserve">扬子江路隧道供电系统由位于维扬路和南部快速通道交叉口中央绿化带内的景观式地埋箱变负责供电。</w:t>
      </w:r>
      <w:r/>
    </w:p>
    <w:p>
      <w:pPr>
        <w:ind w:firstLine="480"/>
        <w:rPr>
          <w:sz w:val="24"/>
          <w:szCs w:val="24"/>
        </w:rPr>
      </w:pPr>
      <w:r>
        <w:rPr>
          <w:rFonts w:hint="eastAsia"/>
          <w:sz w:val="24"/>
          <w:szCs w:val="24"/>
        </w:rPr>
        <w:t xml:space="preserve">荷花池隧道供电系统由位于大学路和和南部快速通道交叉口中央绿化带内的景观式地埋箱变负责供电。</w:t>
      </w:r>
      <w:r/>
    </w:p>
    <w:p>
      <w:pPr>
        <w:ind w:firstLine="480"/>
        <w:rPr>
          <w:sz w:val="24"/>
          <w:szCs w:val="24"/>
        </w:rPr>
      </w:pPr>
      <w:r>
        <w:rPr>
          <w:rFonts w:hint="eastAsia"/>
          <w:sz w:val="24"/>
          <w:szCs w:val="24"/>
        </w:rPr>
        <w:t xml:space="preserve">渡江南路隧道供电系统由位于渡江南路和江阳路交叉口中央绿化带内的景观式地埋箱变负责供电。</w:t>
      </w:r>
      <w:r/>
    </w:p>
    <w:p>
      <w:pPr>
        <w:ind w:firstLine="480"/>
        <w:rPr>
          <w:sz w:val="24"/>
          <w:szCs w:val="24"/>
        </w:rPr>
      </w:pPr>
      <w:r>
        <w:rPr>
          <w:rFonts w:hint="eastAsia"/>
          <w:sz w:val="24"/>
          <w:szCs w:val="24"/>
        </w:rPr>
        <w:t xml:space="preserve">开发路隧道供电系统由位于七里河公园西侧南部快速通道路中央绿化带内的景观式地埋箱变负责供电。</w:t>
      </w:r>
      <w:r/>
    </w:p>
    <w:p>
      <w:pPr>
        <w:ind w:firstLine="480"/>
        <w:rPr>
          <w:sz w:val="24"/>
          <w:szCs w:val="24"/>
        </w:rPr>
      </w:pPr>
      <w:r>
        <w:rPr>
          <w:rFonts w:hint="eastAsia"/>
          <w:sz w:val="24"/>
          <w:szCs w:val="24"/>
        </w:rPr>
        <w:t xml:space="preserve">城南快速路隧道群全线共设有YDS11-Z-500+500/10型景观式地埋变3座，YDS11-Z-315+315/10型景观式地埋变3座，地埋变内设置有高压柜、变压器、低压总开关、低压塑壳断路器、UPS、EPS等。</w:t>
      </w:r>
      <w:r/>
    </w:p>
    <w:p>
      <w:pPr>
        <w:ind w:firstLine="480"/>
        <w:rPr>
          <w:sz w:val="24"/>
          <w:szCs w:val="24"/>
        </w:rPr>
      </w:pPr>
      <w:r>
        <w:rPr>
          <w:rFonts w:hint="eastAsia"/>
          <w:sz w:val="24"/>
          <w:szCs w:val="24"/>
        </w:rPr>
        <w:t xml:space="preserve">文昌东路隧道供电系统由位于文昌东路和金湾路交叉口东北方变电所负责供电。</w:t>
      </w:r>
      <w:r/>
    </w:p>
    <w:p>
      <w:pPr>
        <w:ind w:firstLine="480"/>
        <w:rPr>
          <w:sz w:val="24"/>
          <w:szCs w:val="24"/>
        </w:rPr>
      </w:pPr>
      <w:r>
        <w:rPr>
          <w:rFonts w:hint="eastAsia"/>
          <w:sz w:val="24"/>
          <w:szCs w:val="24"/>
        </w:rPr>
        <w:t xml:space="preserve">韩许河路隧道金湾路与智航路交叉口东南方变电所负责供电。</w:t>
      </w:r>
      <w:r/>
    </w:p>
    <w:p>
      <w:pPr>
        <w:ind w:firstLine="480"/>
        <w:rPr>
          <w:sz w:val="24"/>
          <w:szCs w:val="24"/>
        </w:rPr>
      </w:pPr>
      <w:r>
        <w:rPr>
          <w:rFonts w:hint="eastAsia"/>
          <w:sz w:val="24"/>
          <w:szCs w:val="24"/>
        </w:rPr>
        <w:t xml:space="preserve">金湾快速路文昌东路和韩许河路全线共设有315/10变电所2座，变电所有高压柜、变压器、自动投切开关、低压塑壳断路器、柴油发电机等。</w:t>
      </w:r>
      <w:r/>
    </w:p>
    <w:p>
      <w:pPr>
        <w:ind w:firstLine="480"/>
        <w:rPr>
          <w:sz w:val="24"/>
          <w:szCs w:val="24"/>
        </w:rPr>
      </w:pPr>
      <w:r>
        <w:rPr>
          <w:rFonts w:hint="eastAsia"/>
          <w:sz w:val="24"/>
          <w:szCs w:val="24"/>
        </w:rPr>
        <w:t xml:space="preserve">地埋变及变电所内设置有高压柜、变压器、计量柜、联络柜、电容柜、低压总开关和低压塑壳断路器等。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2、主要要求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rPr>
          <w:rFonts w:hint="eastAsia"/>
          <w:sz w:val="24"/>
          <w:szCs w:val="24"/>
        </w:rPr>
        <w:t xml:space="preserve">地埋式箱变及</w:t>
      </w:r>
      <w:r>
        <w:rPr>
          <w:rFonts w:hint="eastAsia" w:ascii="宋体" w:hAnsi="宋体" w:cs="宋体"/>
          <w:sz w:val="24"/>
          <w:szCs w:val="24"/>
        </w:rPr>
        <w:t xml:space="preserve">配变电所需配备配备专人巡查，每班人员不得少于2人，值班供配电系统运维人员应持有特殊作业操作证（即高压电工证），复印件交采购单位备案，统一服装、电工鞋，并配备专门的电工检修工具。</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（2）供配电系统的工作电压、工作负荷和控制温度应在额定值的允许变化范围内运行。</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（3）供配电系统在运行中，发现继电保护动作跳闸、电容器的断路器跳闸，在未查明原因前不得重新合闸运行。</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（4）供配电系统运维人员应及时记录供配电设备的运行参数，并记录有关调度安排，严禁漏记、编造和涂改。</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（5）严格遵守附件《变电所七项制度、三项程序、一项安全操作》的规定。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（6）在供配电设备上进行倒闸操作时，应遵守电力部门安全工作规程，并应严格按照程序操作，执行变电所七项制度、三项程序。</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（7）变压器、电容器等装置在运行中发生异常情况，当不能排除时，应立即停止运行，及时切换，并应立即报告主管部门。</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（8）电容器在重新合闸前，必须使断路器断开，将电容器放电。</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（9）当电气设备检修时，应使用工作票并遵守电力部门安全工作规程。</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（10）高压电气设备，应根据具体情况要求，选用含义相符的标志牌，并悬挂在适当位置。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（11）按要求对变电所各类电工器具如高压测电器、接地装置、绝缘手套、绝缘靴等送供电公司检测，如有不合格即由中标人负责重新采购更换。</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（12）供电线路的运维按照电力部门的有关规定进行。当供电线路存在异常情况时，采取措施并及时通知电力部门及主管部门。</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（13）供配电系统需要进行带电作业时的项目，应使隧道内、变配电室、中心控制室相互协调、密切配合，并严格按电气操作规程的有关要求进行。</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w:t>
      </w:r>
      <w:r>
        <w:rPr>
          <w:rFonts w:hint="eastAsia"/>
          <w:sz w:val="24"/>
          <w:szCs w:val="24"/>
        </w:rPr>
        <w:t xml:space="preserve">地埋式箱变及</w:t>
      </w:r>
      <w:r>
        <w:rPr>
          <w:rFonts w:hint="eastAsia" w:ascii="宋体" w:hAnsi="宋体" w:cs="宋体"/>
          <w:sz w:val="24"/>
          <w:szCs w:val="24"/>
        </w:rPr>
        <w:t xml:space="preserve">变电所设备试验、维护和保养，主要对高、低压配电系统进行测试、变压器二次保护测试、设备除尘、连接螺栓紧固等，专项性维护保养由具备相应技术水平专业人员进行。</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（15）检修作业前需切断该配电箱电源，特殊情况不能断电时，做好绝缘防护措施；</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（16）现场检修或维护人员每组不得少于2人，并携带通讯工具，随时与变电所值班人员联络。</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（17）电源系统设备及周围环境应保持整洁、卫生。</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（18）</w:t>
      </w:r>
      <w:r>
        <w:rPr>
          <w:rFonts w:hint="eastAsia"/>
          <w:sz w:val="24"/>
          <w:szCs w:val="24"/>
        </w:rPr>
        <w:t xml:space="preserve">地埋式箱变箱体应</w:t>
      </w:r>
      <w:r>
        <w:rPr>
          <w:rFonts w:hint="eastAsia" w:ascii="宋体" w:hAnsi="宋体" w:cs="宋体"/>
          <w:sz w:val="24"/>
          <w:szCs w:val="24"/>
        </w:rPr>
        <w:t xml:space="preserve">定期检查、维修。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（19）日常运行中出现的设备设施故障都应按照“运维目标”中要求的抢修时间进行修复。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（20）按计划进行经常性检修和定期检修。维护时应严格按照操作规范和厂家说明书的要求进行。</w:t>
      </w:r>
      <w:r/>
    </w:p>
    <w:p>
      <w:pPr>
        <w:ind w:firstLine="480"/>
        <w:rPr>
          <w:rFonts w:hint="eastAsia" w:ascii="TimesNewRomanPSMT" w:hAnsi="TimesNewRomanPSMT"/>
          <w:sz w:val="24"/>
          <w:szCs w:val="24"/>
        </w:rPr>
      </w:pPr>
      <w:r>
        <w:rPr>
          <w:rFonts w:hint="eastAsia" w:ascii="TimesNewRomanPSMT" w:hAnsi="TimesNewRomanPSMT"/>
          <w:sz w:val="24"/>
          <w:szCs w:val="24"/>
        </w:rPr>
        <w:t xml:space="preserve">（21）</w:t>
      </w:r>
      <w:r>
        <w:rPr>
          <w:rFonts w:hint="eastAsia"/>
          <w:sz w:val="24"/>
          <w:szCs w:val="24"/>
        </w:rPr>
        <w:t xml:space="preserve">供配电系统需要进行带电作业的项目，应使隧道内、配电房、中心控制室相互协调、密切配合，并严格按电气操作规程的有关要求进行。</w:t>
      </w:r>
      <w:r/>
    </w:p>
    <w:p>
      <w:pPr>
        <w:ind w:firstLine="480"/>
        <w:rPr>
          <w:sz w:val="24"/>
          <w:szCs w:val="24"/>
        </w:rPr>
      </w:pPr>
      <w:r>
        <w:rPr>
          <w:rFonts w:hint="eastAsia" w:ascii="TimesNewRomanPSMT" w:hAnsi="TimesNewRomanPSMT"/>
          <w:sz w:val="24"/>
          <w:szCs w:val="24"/>
        </w:rPr>
        <w:t xml:space="preserve">（22）</w:t>
      </w:r>
      <w:r>
        <w:rPr>
          <w:rFonts w:hint="eastAsia"/>
          <w:sz w:val="24"/>
          <w:szCs w:val="24"/>
        </w:rPr>
        <w:t xml:space="preserve">供配电系统的设备完好率不应低于</w:t>
      </w:r>
      <w:r>
        <w:rPr>
          <w:rFonts w:ascii="TimesNewRomanPSMT" w:hAnsi="TimesNewRomanPSMT"/>
          <w:sz w:val="24"/>
          <w:szCs w:val="24"/>
        </w:rPr>
        <w:t xml:space="preserve">98%</w:t>
      </w:r>
      <w:r>
        <w:rPr>
          <w:rFonts w:hint="eastAsia"/>
          <w:sz w:val="24"/>
          <w:szCs w:val="24"/>
        </w:rPr>
        <w:t xml:space="preserve">。</w:t>
      </w:r>
      <w:r/>
    </w:p>
    <w:p>
      <w:pPr>
        <w:ind w:firstLine="480"/>
        <w:rPr>
          <w:sz w:val="24"/>
          <w:szCs w:val="24"/>
        </w:rPr>
      </w:pPr>
      <w:r>
        <w:rPr>
          <w:rFonts w:hint="eastAsia"/>
          <w:sz w:val="24"/>
          <w:szCs w:val="24"/>
        </w:rPr>
        <w:t xml:space="preserve">（23）系统维修开始后2日内未完成检修作业的需填报维修说明。维修量较大且涉及安全风险的需提供维修方案，采购人审核通过后方可实施。</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2.2.1.2日常巡查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常巡查是指在巡视车上或通过步行目测以及其他信息化手段对机电设施外观和运行状态进行的一般巡视检查,并对检查结果及时记录。主要包括隧道内、周边设施，保护区管理。日常巡查需做好电表的读数记录。</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供配电系统运维人员应对供配电设施日常检查，每二小时巡视检查一次，主要针对变压器、高低压配电柜以及变配电室内相关设备运行、各</w:t>
      </w:r>
      <w:r>
        <w:rPr>
          <w:rFonts w:hint="eastAsia" w:ascii="宋体" w:hAnsi="宋体" w:cs="宋体"/>
          <w:sz w:val="24"/>
          <w:szCs w:val="24"/>
        </w:rPr>
        <w:t xml:space="preserve">类仪表指示等情况，通过观察异常、声响、发热、气味、火花等现象，及时发现设备故障，及时排除，并做好运行记录。做好每日的电表抄写工作。节假日期间（如春节、国庆节、五一节等）增加巡视检查次数，以确保设备运行正常；雨季对泵房水泵控制箱加强巡查，每周二次，另外根据气象部门预报，每次暴雨、大雨前均应对泵房水泵控制箱检查一次。每次巡视检查均应做好记录，记录要求与变电所记录相同；电源系统日常巡检每天两次，主要检查设备运行效果和完好状况。重点关注UPS主机的运转情况，有无接插件脱落或过热现象，出现任何异常都应及时处理和记录。</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2.2.1.3系统检查及维修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1、供配电设备及周围环境应保持整洁、卫生。</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2、供配电系统运维人员每月检查变电所的电压、电流、开关状态等参数能按设计要求与中央控制室联动正确。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3、供配电系统中高低压变配电设备应在每季度各进行一次停电、清扫、检修工作。</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4、每年必须按规范由供电部门专业人员对高压柜、高压母联、变压器等高压变配电设施进行绝缘、耐压等的预防性测试，并对测试中发现的问题按要求完成整改。如实记录并存档。</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5、变电所各种配电箱每日巡视检查一次，检查内容：盘面指示状态、内部开关有无跳闸、内部元件有无损坏烧痕、箱体内是否清洁潮湿等；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6、供电线路巡视检查每月进行一次，主要查看电缆温度、测试电缆通道气温、电缆外皮有无损伤、电缆通道内有无小动物、电缆桥支架有无锈蚀松动变形等。</w:t>
      </w:r>
      <w:r/>
    </w:p>
    <w:p>
      <w:pPr>
        <w:ind w:firstLine="480"/>
        <w:rPr>
          <w:rFonts w:ascii="宋体" w:hAnsi="宋体" w:cs="宋体"/>
          <w:sz w:val="24"/>
          <w:szCs w:val="24"/>
        </w:rPr>
      </w:pPr>
      <w:r>
        <w:rPr>
          <w:rFonts w:hint="eastAsia" w:ascii="宋体" w:hAnsi="宋体" w:cs="宋体"/>
          <w:sz w:val="24"/>
          <w:szCs w:val="24"/>
        </w:rPr>
        <w:t xml:space="preserve">7、每年对所有配电柜、控制箱外壳、支架、接地装置等锈蚀状况进行除锈、防腐、油漆处理。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8、每月对UPS和集中接地进行一次检查，查看设备运转是否正常，接地端子和线缆是否连接良好。</w:t>
      </w:r>
      <w:r/>
    </w:p>
    <w:p>
      <w:pPr>
        <w:ind w:firstLine="480"/>
        <w:rPr>
          <w:rFonts w:ascii="宋体" w:hAnsi="宋体" w:cs="宋体"/>
          <w:sz w:val="24"/>
          <w:szCs w:val="24"/>
        </w:rPr>
      </w:pPr>
      <w:r>
        <w:rPr>
          <w:rFonts w:hint="eastAsia" w:ascii="宋体" w:hAnsi="宋体" w:cs="宋体"/>
          <w:sz w:val="24"/>
          <w:szCs w:val="24"/>
        </w:rPr>
        <w:t xml:space="preserve">9、每月进行一次安全检查，主要检查系统内所有设备的外观、紧固和功能完善情况。并做好安全检查记录。</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10、每年对弱电接地体系进行一次接地绝缘检测。要求用专业仪表，对四处集中接地箱的接地电阻进行摇测。测试结果应小于1Ω，尽可能小为最佳。</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11、每年对所有配电箱内的接线端子和电缆标签进行一次检查，应保证端子编号、用途标牌及其他标志，完整无缺，书写正确清楚。</w:t>
      </w:r>
      <w:r/>
    </w:p>
    <w:p>
      <w:pPr>
        <w:ind w:firstLine="480"/>
        <w:rPr>
          <w:rFonts w:ascii="宋体" w:hAnsi="宋体" w:cs="宋体"/>
          <w:sz w:val="24"/>
          <w:szCs w:val="24"/>
        </w:rPr>
      </w:pPr>
      <w:r>
        <w:rPr>
          <w:rFonts w:hint="eastAsia" w:ascii="宋体" w:hAnsi="宋体" w:cs="宋体"/>
          <w:sz w:val="24"/>
          <w:szCs w:val="24"/>
        </w:rPr>
        <w:t xml:space="preserve">12、供配电系统应根据养护等级、交通组成、污垢对机电设施功能的影响程度、清洁方式和环境条件等因素进行清洁维护，不得低于1次/月。主要包括配电房内电力设备、箱式变电站、外场配电箱、插座箱、控制箱等。采用湿法清洁时，应注意保护人员安全和机电设施内部电气元件安全，并应防止液体渗入设施内；采用干法清洁时，应采取必要的降尘措施，对清扫不能去除的污垢，经判别可用湿法清洁时，可用清洁剂进行局部特别处理。</w:t>
      </w:r>
      <w:r/>
    </w:p>
    <w:p>
      <w:pPr>
        <w:ind w:firstLine="480"/>
        <w:rPr>
          <w:rFonts w:ascii="宋体" w:hAnsi="宋体" w:cs="宋体"/>
          <w:sz w:val="24"/>
          <w:szCs w:val="24"/>
        </w:rPr>
      </w:pPr>
      <w:r>
        <w:rPr>
          <w:rFonts w:hint="eastAsia" w:ascii="宋体" w:hAnsi="宋体" w:cs="宋体"/>
          <w:sz w:val="24"/>
          <w:szCs w:val="24"/>
        </w:rPr>
        <w:t xml:space="preserve">主要内容如下：</w:t>
      </w:r>
      <w:r/>
    </w:p>
    <w:tbl>
      <w:tblPr>
        <w:tblStyle w:val="717"/>
        <w:tblW w:w="90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701"/>
        <w:gridCol w:w="3534"/>
        <w:gridCol w:w="1112"/>
        <w:gridCol w:w="956"/>
        <w:gridCol w:w="1061"/>
      </w:tblGrid>
      <w:tr>
        <w:trPr>
          <w:trHeight w:val="6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保养项目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日常检查维护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经常性检查维修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定期检修</w:t>
            </w:r>
            <w:r/>
          </w:p>
        </w:tc>
      </w:tr>
      <w:tr>
        <w:trPr>
          <w:trHeight w:val="96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高压断路器柜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清洁柜面各仪表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检查柜面各指示灯显示正常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柜面仪器、仪表显示是否正常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柜面上的电磁锁是否正常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仪表面板上带钥匙的控制开关是否正常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断路器触头、真空泡触头有无烧损，接触是否紧密，触点中心是否相对；触头或真空泡是否损坏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断路器处在分闸位置时，手车能否抽出和插入；手车处在不同位置时，一、二次回路是否正常；断路器与接地开关的机械连锁是否正常；柜后的上下门连锁是否正常；仪表板上带钥匙的控制开关（或防误型插座）是否正常；穿墙套管有无破损；排气通道有无堵塞；</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二次端子有无松动、烧痕、污染</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线圈绝缘是否良好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分、合闸能否正常进行，弹簧机构是否正常，有无卡塞（</w:t>
            </w:r>
            <w:r>
              <w:rPr>
                <w:rFonts w:hint="eastAsia" w:ascii="宋体" w:hAnsi="宋体"/>
                <w:sz w:val="24"/>
                <w:szCs w:val="24"/>
              </w:rPr>
              <w:t xml:space="preserve">操作机构是否正常，分、合闸时间是否符合生产厂规定</w:t>
            </w:r>
            <w:r>
              <w:rPr>
                <w:rFonts w:hint="eastAsia" w:ascii="宋体" w:hAnsi="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穿墙套管有无破损，排气通道有无堵塞，二次端子有无污染、松动、烧痕，线圈绝缘是否良好，分合闸能否正常进行，电磁式弹簧操作机构有无卡塞、是否正常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电气整定值是否满足电力系统要求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保护装置能否与中央信号系统协调配合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3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高压互感器柜与避雷器柜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清洁柜面各仪表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检查柜面各指示灯显示正常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柜面仪器、仪表显示是否正常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高压互感器有无污染、裂痕，绝缘是否良好;电流互感器有无污染、裂痕、绝缘是否良好;计量仪表有无污染，计量是否准确。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接地装置有无锈蚀，接地电阻是否满足设计要求小于10欧姆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清洁箱体内表面及各元件灰尘</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检查避雷器外观有无损坏，有无放电痕迹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接地装置有无腐蚀、是否满足设计要求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进行预防性试验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3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高压隔离开关和负荷开关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熔断器外观有无污染、烧痕，熔断丝是否烧断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触头有无污染、损伤、接触是否紧密、灭弧装置是否烧损，采用SF6绝缘和灭弧的装置应观测其壳体漏气率是否符合生产厂规定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负荷开关触头有无烧损，接触是否紧密，动静触点中心是否相对，操作机构是否正常，分合闸时间是否符合生产厂规定）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清洁开关表面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操动机构有无污染，转动是否灵活、有无卡塞现象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电力变压器柜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清洁柜面各仪表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柜面仪表显示是否正常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检查有无异常响声和过热</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检查变压器温度是否正常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00"/>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噪声是否符合要求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检查箱内接线端子有无污染、松动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检查绝缘套管有无污染和裂痕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检查冷却风扇是否正常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清洁箱体内表面及各元件灰尘</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检测内部线圈直流电阻是否符合生产厂家规定</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检测内部相间、线间及对地绝缘是否符合要求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进行变压器油耐压测试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铭牌有误污染，检查所有分接头的变压比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电容</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器柜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清洁柜面各仪表</w:t>
            </w:r>
            <w:r>
              <w:rPr>
                <w:rFonts w:hint="eastAsia" w:ascii="宋体" w:hAnsi="宋体"/>
                <w:sz w:val="24"/>
                <w:szCs w:val="24"/>
              </w:rPr>
              <w:t xml:space="preserve">外观有无污染</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柜面仪表显示是否正常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熔断器有无烧伤痕迹，</w:t>
            </w:r>
            <w:r>
              <w:rPr>
                <w:rFonts w:hint="eastAsia" w:ascii="宋体" w:hAnsi="宋体" w:cs="宋体"/>
                <w:sz w:val="24"/>
                <w:szCs w:val="24"/>
              </w:rPr>
              <w:t xml:space="preserve">检查电熔丝是否完好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外观有无污染，检查电容器接头有无松动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检查接触器动作正常,噪声是否符合要求，触头是否光洁，</w:t>
            </w:r>
            <w:r>
              <w:rPr>
                <w:rFonts w:hint="eastAsia" w:ascii="宋体" w:hAnsi="宋体"/>
                <w:sz w:val="24"/>
                <w:szCs w:val="24"/>
              </w:rPr>
              <w:t xml:space="preserve">接触器有无机械卡塞，线圈直流电阻是否符合生产厂规定，触头有无烧损痕迹、闭合是否紧密，动静触头是否中心相对，能否正常动作</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检查接线接头有无松动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检查控制器能否正常工作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20"/>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清洁箱体内表面及各元件灰尘</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检查电容器有无漏油、过热、膨胀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检查电容器绝缘是否正常,有无击穿现象</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4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低压开关柜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清洁柜面各仪表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柜面仪表显示是否正常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熔断器有无烧伤痕迹，</w:t>
            </w:r>
            <w:r>
              <w:rPr>
                <w:rFonts w:hint="eastAsia" w:ascii="宋体" w:hAnsi="宋体" w:cs="宋体"/>
                <w:sz w:val="24"/>
                <w:szCs w:val="24"/>
              </w:rPr>
              <w:t xml:space="preserve">检查电熔丝是否完好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19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检查断路器外观</w:t>
            </w:r>
            <w:r>
              <w:rPr>
                <w:rFonts w:hint="eastAsia" w:ascii="宋体" w:hAnsi="宋体"/>
                <w:sz w:val="24"/>
                <w:szCs w:val="24"/>
              </w:rPr>
              <w:t xml:space="preserve">外观有无污染，</w:t>
            </w:r>
            <w:r>
              <w:rPr>
                <w:rFonts w:hint="eastAsia" w:ascii="宋体" w:hAnsi="宋体" w:cs="宋体"/>
                <w:sz w:val="24"/>
                <w:szCs w:val="24"/>
              </w:rPr>
              <w:t xml:space="preserve">有无裂痕、触头有无烧伤、接触是否紧密、有无明显的噪声</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检查脱扣器是否正常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检查绝缘是否良好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检查引线接头有无烧痕、松动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整定值能否满足系统保护要求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检查接触器是否机械卡塞、噪声是否符合要求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线圈直流电阻是否符合生产厂规定</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检查接触器触头有无烧痕</w:t>
            </w:r>
            <w:r>
              <w:rPr>
                <w:rFonts w:hint="eastAsia" w:ascii="宋体" w:hAnsi="宋体"/>
                <w:sz w:val="24"/>
                <w:szCs w:val="24"/>
              </w:rPr>
              <w:t xml:space="preserve">，闭合是否紧密，动静触头是否中心相对</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检查接触器能否正常动作</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引线接头有无污染、松动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检查热继电器外壳是否清洁、完整、嵌接良好</w:t>
            </w:r>
            <w:r/>
          </w:p>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外壳与底座接合是否紧密牢固，防尘密封是否良好，安装是否端正</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检查热继电器接线无松动、端子无烧痕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检查热继电器整定正确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热继电器内部和机械部分检查</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热元件是否烧毁</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进出线头是否脱落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接线螺钉是否拧紧</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触头是否烧坏</w:t>
            </w:r>
            <w:r>
              <w:rPr>
                <w:rFonts w:hint="eastAsia" w:ascii="宋体" w:hAnsi="宋体" w:cs="宋体"/>
                <w:sz w:val="24"/>
                <w:szCs w:val="24"/>
                <w:lang w:val="en-US" w:eastAsia="zh-CN"/>
              </w:rPr>
              <w:t xml:space="preserve">活动</w:t>
            </w:r>
            <w:r>
              <w:rPr>
                <w:rFonts w:hint="eastAsia" w:ascii="宋体" w:hAnsi="宋体" w:cs="宋体"/>
                <w:sz w:val="24"/>
                <w:szCs w:val="24"/>
              </w:rPr>
              <w:t xml:space="preserve">触头杆的弹性是否消失</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双金属片是否变形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动作机构是否卡死</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继电器内是否清洁</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整定把手是否能可靠固定在整定位置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触电固定是否牢固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420"/>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热继电器校验</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一般性校验</w:t>
            </w:r>
            <w:r/>
          </w:p>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整定动作值</w:t>
            </w:r>
            <w:r>
              <w:rPr>
                <w:rFonts w:hint="eastAsia" w:ascii="宋体" w:hAnsi="宋体" w:cs="宋体"/>
                <w:sz w:val="24"/>
                <w:szCs w:val="24"/>
                <w:lang w:val="en-US" w:eastAsia="zh-CN"/>
              </w:rPr>
              <w:t xml:space="preserve">与</w:t>
            </w:r>
            <w:r>
              <w:rPr>
                <w:rFonts w:hint="eastAsia" w:ascii="宋体" w:hAnsi="宋体" w:cs="宋体"/>
                <w:sz w:val="24"/>
                <w:szCs w:val="24"/>
              </w:rPr>
              <w:t xml:space="preserve">整定值误差不应超过±3%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420"/>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检查互感器有无污染</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检查互感器绝缘是否良好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检查互感器接线良好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外部接线是否断开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50"/>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检查二次回路端子排是否污染</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检查接线是否松动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4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外观有无污染，仪表能否正常显示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4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检查转换开关外壳是否清洁、完整、嵌接良好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检查转换开关防尘密封是否良好，安装是否端正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清洁箱体内表面及各元件灰尘</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检查所有电排、元器件固定螺丝紧固、无烧痕、锈蚀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2次/年</w:t>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检查转换开关端子接线是否可靠</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检查转换开关构件是否磨损、损坏、端子有无锈蚀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手柄转动后，静触头和动触头是否同时分合</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检查转换开关触头动作正常、灵活，旋转定位是否可靠、准确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检查各部件的安装是否良好、螺丝是否拧紧、焊头是否牢固可靠</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开关接线柱相间是否短路</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控制是否达到要求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照明、水泵、风机启动及控制箱，插座箱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清洁柜面各仪表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柜面仪表显示是否正常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熔断器有无烧伤痕迹，</w:t>
            </w:r>
            <w:r>
              <w:rPr>
                <w:rFonts w:hint="eastAsia" w:ascii="宋体" w:hAnsi="宋体" w:cs="宋体"/>
                <w:sz w:val="24"/>
                <w:szCs w:val="24"/>
              </w:rPr>
              <w:t xml:space="preserve">检查电熔丝是否完好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断路器外观有无污染、裂痕，触头有无烧伤，接触是否紧密，，有无明显的噪声，脱扣器是否正常，绝缘是否良好，整定值能否满足系统保护要求，引接线头有无污染、松动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检查接触器是否机械卡塞、噪声是否符合要求，</w:t>
            </w:r>
            <w:r>
              <w:rPr>
                <w:rFonts w:hint="eastAsia" w:ascii="宋体" w:hAnsi="宋体"/>
                <w:sz w:val="24"/>
                <w:szCs w:val="24"/>
              </w:rPr>
              <w:t xml:space="preserve">线圈直流电阻是否符合生产厂规定</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检查接触器触头有无烧痕，</w:t>
            </w:r>
            <w:r>
              <w:rPr>
                <w:rFonts w:hint="eastAsia" w:ascii="宋体" w:hAnsi="宋体"/>
                <w:sz w:val="24"/>
                <w:szCs w:val="24"/>
              </w:rPr>
              <w:t xml:space="preserve">闭合是否紧密，动静触头是否中心相对</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检查接触器能否正常动作</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检查开关装置定时的准确性与动作状态有无异常，</w:t>
            </w:r>
            <w:r>
              <w:rPr>
                <w:rFonts w:hint="eastAsia" w:ascii="宋体" w:hAnsi="宋体"/>
                <w:sz w:val="24"/>
                <w:szCs w:val="24"/>
              </w:rPr>
              <w:t xml:space="preserve">引线接头有无污染、松动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检查热继电器外壳是否清洁、完整、嵌接良好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检查热继电器接线无松动、端子无烧痕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检查热继电器整定正确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检查二次回路端子排是否污染</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检查接线是否松动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检查转换开关外壳是否清洁、完整、嵌接良好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检查转换开关防尘密封是否良好，安装是否端正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箱体接地是否良好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检查照明控制箱</w:t>
            </w:r>
            <w:r>
              <w:rPr>
                <w:rFonts w:hint="eastAsia"/>
                <w:sz w:val="24"/>
                <w:szCs w:val="24"/>
              </w:rPr>
              <w:t xml:space="preserve">可编控制程序是否正确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检查照明控制箱自动、集控、手动操作是否正确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检查风机启动及控制箱内有无锈蚀积水，接触是否良好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风机控制功能试验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检查水泵启动及控制箱内有无锈蚀积水，接触是否良好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检查水位控制器正常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水泵控制功能试验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检查风机、水泵软启动装置是否正常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检查双电源切换装置手动、自动切换是否正常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清洁箱体内表面及各元件灰尘</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检查箱体接地是否良好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检查元器件固定螺丝紧固、无烧痕、锈蚀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检查照明控制箱可编控制程序是否正确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7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检查转换开关接线是否牢固可靠、无锈蚀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检查转换开关是否磨损、损坏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检查转换开关手柄转动后，静触头与动触头是否同时分合</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检查转换开关可动部分是否灵活、定位准确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检查转换开关接线柱相间是否短路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电力电缆及支架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检查外表有无损伤</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检查电缆外表温度是否正常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电缆线路及其附属设施巡查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检测线间、相间和对地绝缘是否正常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检查接头处良好、无烧痕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检查电缆桥架支架无断开、变形、锈蚀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检查接地是否良好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电缆沟是否干净，有无杂物垃圾，有无积水、积油，盖板是否完整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rPr>
                <w:rFonts w:ascii="宋体" w:hAnsi="宋体" w:cs="宋体"/>
                <w:sz w:val="24"/>
                <w:szCs w:val="24"/>
              </w:rPr>
            </w:pPr>
            <w:r>
              <w:rPr>
                <w:rFonts w:hint="eastAsia" w:ascii="宋体" w:hAnsi="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ascii="宋体" w:hAnsi="宋体" w:cs="宋体"/>
                <w:sz w:val="24"/>
                <w:szCs w:val="24"/>
              </w:rPr>
            </w:pPr>
            <w:r>
              <w:rPr>
                <w:rFonts w:hint="eastAsia"/>
                <w:sz w:val="24"/>
                <w:szCs w:val="24"/>
              </w:rPr>
              <w:t xml:space="preserve">电缆桥架、托架及支架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外表有无变形、断开</w:t>
            </w:r>
            <w:r/>
          </w:p>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各部件连接是否紧固</w:t>
            </w:r>
            <w:r/>
          </w:p>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有无腐蚀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接地是否良好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6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变配电室构件、接地装置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检测接地电阻是否正常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检查有无锈蚀、固定件紧固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每年对接地排按规定油漆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3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直流电源、电源、信号屏、EPS</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清洁柜面各仪表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检查柜面仪表显示是否正常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检查信号屏无报警灯、音</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检查电池组外观有无污染损伤</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检查电池组温度是否正常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检查电池各电压是否正常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检查电熔丝是否完好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检查有无异常噪音、温度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检测、紧固连接端子</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测量、记录输入输出电压</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清洁箱内壁、电池、各器件灰尘</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检查箱体接地是否良好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检查电池绝缘是否正常</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池组外观有无污染损伤，电池的电解液是否正常，噪音、温湿度是否正常</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电池的电压读数是否正常</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电池的绝缘是否正常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输出直流电压、电流是否正常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检查整流装置是否正常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接地是否良好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电池组容量恢复性试验</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检查微机继电保护装置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检查充电器及浮充电器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高压计量柜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清洁柜面各仪表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检查柜面仪表显示是否正常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检查计量值是否准确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30"/>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检查电流互感器有无污染、损伤</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检查绝缘是否良好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清洁箱体内表面及各元件灰尘</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检查箱体接地是否良好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检查元器件固定螺丝紧固、无烧痕、锈蚀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继电</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器屏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清洁柜面各仪表、器件</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检查柜面仪表显示是否正常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检查各器件工作正常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检查继电器外壳是否清洁、完整、嵌接良好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检查继电器外壳与底座连接是否紧密牢固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检查继电器端子接线是否牢固可靠</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清洁继电器内部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检查动作灵活</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检查各部件安装牢固、无锈蚀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清洁电气柜内部及各器件灰尘</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检查继电器整定位置正确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检查触点固定、有无烧伤</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检查保护接线回路绝缘电阻是否大于10MΩ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37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稳压</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清洁箱体表面及各柜面仪表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检查输出电压是否稳定正确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检查箱内是否有异常噪音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50"/>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检查电压调整机构正常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检查调压线圈外表是否磨损</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清洁柜内各器件灰尘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检查调整调整机构链条</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校验电压表是否正确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用指定润滑油润滑机械机构</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清洁调压线圈外表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检查碳刷是否磨损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top w:val="single" w:color="auto" w:sz="4" w:space="0"/>
              <w:left w:val="single" w:color="auto" w:sz="4" w:space="0"/>
              <w:right w:val="single" w:color="auto" w:sz="4" w:space="0"/>
            </w:tcBorders>
            <w:tcW w:w="675"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15</w:t>
            </w:r>
            <w:r/>
          </w:p>
        </w:tc>
        <w:tc>
          <w:tcPr>
            <w:tcBorders>
              <w:top w:val="single" w:color="auto" w:sz="4" w:space="0"/>
              <w:left w:val="single" w:color="auto" w:sz="4" w:space="0"/>
              <w:right w:val="single" w:color="auto" w:sz="4" w:space="0"/>
            </w:tcBorders>
            <w:tcW w:w="1701" w:type="dxa"/>
            <w:vMerge w:val="restart"/>
            <w:textDirection w:val="lrTb"/>
            <w:noWrap w:val="false"/>
          </w:tcPr>
          <w:p>
            <w:pPr>
              <w:rPr>
                <w:rFonts w:ascii="宋体" w:hAnsi="宋体" w:cs="宋体"/>
                <w:sz w:val="24"/>
                <w:szCs w:val="24"/>
              </w:rPr>
            </w:pPr>
            <w:r>
              <w:rPr>
                <w:rFonts w:hint="eastAsia"/>
                <w:sz w:val="24"/>
                <w:szCs w:val="24"/>
              </w:rPr>
              <w:t xml:space="preserve">箱式变电站</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箱式外壳有无污染、破损和锈蚀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室内温度和湿度是否符合要求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有无异响声、噪声是否符合要求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电缆进出线孔封堵是否密实</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jc w:val="center"/>
              <w:spacing w:line="360" w:lineRule="auto"/>
              <w:rPr>
                <w:rFonts w:ascii="宋体" w:hAnsi="宋体"/>
                <w:sz w:val="24"/>
                <w:szCs w:val="24"/>
              </w:rP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箱体周围接地电阻是否符合要求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各电器连接是否可靠，有无松动、发热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室内电气元件检查参照以上同设备要求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top w:val="single" w:color="auto" w:sz="4" w:space="0"/>
              <w:left w:val="single" w:color="auto" w:sz="4" w:space="0"/>
              <w:right w:val="single" w:color="auto" w:sz="4" w:space="0"/>
            </w:tcBorders>
            <w:tcW w:w="675"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16</w:t>
            </w:r>
            <w:r/>
          </w:p>
        </w:tc>
        <w:tc>
          <w:tcPr>
            <w:tcBorders>
              <w:top w:val="single" w:color="auto" w:sz="4" w:space="0"/>
              <w:left w:val="single" w:color="auto" w:sz="4" w:space="0"/>
              <w:right w:val="single" w:color="auto" w:sz="4" w:space="0"/>
            </w:tcBorders>
            <w:tcW w:w="1701" w:type="dxa"/>
            <w:vMerge w:val="restart"/>
            <w:textDirection w:val="lrTb"/>
            <w:noWrap w:val="false"/>
          </w:tcPr>
          <w:p>
            <w:pPr>
              <w:rPr>
                <w:rFonts w:ascii="宋体" w:hAnsi="宋体" w:cs="宋体"/>
                <w:sz w:val="24"/>
                <w:szCs w:val="24"/>
              </w:rPr>
            </w:pPr>
            <w:r>
              <w:rPr>
                <w:rFonts w:hint="eastAsia" w:ascii="宋体" w:hAnsi="宋体"/>
                <w:sz w:val="24"/>
                <w:szCs w:val="24"/>
              </w:rPr>
              <w:t xml:space="preserve">自备发电设备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负荷运行30min以上：启动、停止试验，油压、异响、震动、过热检查，额定转速及电压确定，预热的情况是否正常，各部分温度是否正常，各机械的动作状态是否灵活，自动调节励磁是否正常，响应时间是否正常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柴油发动机：外观有无污染、损伤，计量表有无异常、漏油、漏水，各部分加油，各部位有无松动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top w:val="single" w:color="auto" w:sz="4" w:space="0"/>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701" w:type="dxa"/>
            <w:vAlign w:val="center"/>
            <w:vMerge w:val="continue"/>
            <w:textDirection w:val="lrTb"/>
            <w:noWrap w:val="false"/>
          </w:tcPr>
          <w:p>
            <w:pPr>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柴油发动机：“三清”更换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发电机：外观有无污染、损伤，给轴承加油，电刷的接触状态及磨损情况</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接线连接是否可靠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接线绝缘是否正常，温度是否正常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启动装置外观有无污染、损伤，空气压缩机的润滑油量，计量表是否正常，有无异响、震动，各部位有无污染、损伤，油量是否正常，有无变形、松动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启动装置是否更换润滑油，附属装置是否正常，直流电动机是否满足启动要求，直流电动机是否正常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燃料装置外观有无污染、损伤，有无漏油，贮留量，泵的运行状态是否正常，燃料过滤器的手动操作是否可靠，油位计及漏油开关的动作状态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燃料装置给轴承部位加油，储油槽排水泵是否通畅，各部分有无松动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润滑油装置外观有无污染、损伤，燃料过滤器的手动操作是否正常、油的粘度是否正常，保温装置的运行状态有无异常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润滑油装置泵的运行状态有无异常，除渣、放水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冷却装置外观有无污染、损伤，冷却水量、水温是否正常，有无漏水压力栓的工作状态是否正常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冷却装置风扇的工作状态是否正常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空气净化器或换气扇外观有无污染、损伤，工作状态有无异常，排气颜色有无异常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排气管、支撑接头有无裂纹、腐蚀，空气净化器有无污染</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减震橡胶、锚具螺栓有无变形、损伤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控制台外观有无污染、损伤，计量仪表、显示灯、故障显示器有无异常，操作开关、继电器、电磁开关、配线断路器等有无异常，柜内配线有无异常，有无污染、损伤、过热、松动、断线，电压、电流、电量测量，运行时间计量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控制台供配电中定期检修项目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配线管各接头有无松动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接地线有无断线、连接部位状态、接地电阻是否正常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rPr>
                <w:rFonts w:ascii="宋体" w:hAnsi="宋体" w:cs="宋体"/>
                <w:sz w:val="24"/>
                <w:szCs w:val="24"/>
              </w:rPr>
            </w:pPr>
            <w:r>
              <w:rPr>
                <w:rFonts w:hint="eastAsia" w:ascii="宋体" w:hAnsi="宋体" w:cs="宋体"/>
                <w:sz w:val="24"/>
                <w:szCs w:val="24"/>
              </w:rPr>
              <w:t xml:space="preserve">17</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ascii="宋体" w:hAnsi="宋体" w:cs="宋体"/>
                <w:sz w:val="24"/>
                <w:szCs w:val="24"/>
              </w:rPr>
            </w:pPr>
            <w:r>
              <w:rPr>
                <w:rFonts w:hint="eastAsia"/>
                <w:sz w:val="24"/>
                <w:szCs w:val="24"/>
              </w:rPr>
              <w:t xml:space="preserve">电力监控系统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电力监控系统是否正常运行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18</w:t>
            </w:r>
            <w:r/>
          </w:p>
        </w:tc>
        <w:tc>
          <w:tcPr>
            <w:tcBorders>
              <w:top w:val="single" w:color="auto" w:sz="4" w:space="0"/>
              <w:left w:val="single" w:color="auto" w:sz="4" w:space="0"/>
              <w:bottom w:val="single" w:color="auto" w:sz="4" w:space="0"/>
              <w:right w:val="single" w:color="auto" w:sz="4" w:space="0"/>
            </w:tcBorders>
            <w:tcW w:w="1701" w:type="dxa"/>
            <w:vMerge w:val="restart"/>
            <w:textDirection w:val="lrTb"/>
            <w:noWrap w:val="false"/>
          </w:tcPr>
          <w:p>
            <w:pPr>
              <w:rPr>
                <w:sz w:val="24"/>
                <w:szCs w:val="24"/>
              </w:rPr>
            </w:pPr>
            <w:r>
              <w:rPr>
                <w:rFonts w:hint="eastAsia"/>
                <w:sz w:val="24"/>
                <w:szCs w:val="24"/>
              </w:rPr>
              <w:t xml:space="preserve">工作井UPS</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外观保养：清洁、无损伤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top w:val="single" w:color="auto" w:sz="4" w:space="0"/>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风扇工作情况检查：正常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温、湿度检查：0-40℃、20-80%,无凝露</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接地电阻检查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top w:val="single" w:color="auto" w:sz="4" w:space="0"/>
              <w:left w:val="single" w:color="auto" w:sz="4" w:space="0"/>
              <w:right w:val="single" w:color="auto" w:sz="4" w:space="0"/>
            </w:tcBorders>
            <w:tcW w:w="675"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19</w:t>
            </w:r>
            <w:r/>
          </w:p>
        </w:tc>
        <w:tc>
          <w:tcPr>
            <w:tcBorders>
              <w:top w:val="single" w:color="auto" w:sz="4" w:space="0"/>
              <w:left w:val="single" w:color="auto" w:sz="4" w:space="0"/>
              <w:right w:val="single" w:color="auto" w:sz="4" w:space="0"/>
            </w:tcBorders>
            <w:tcW w:w="1701" w:type="dxa"/>
            <w:vMerge w:val="restart"/>
            <w:textDirection w:val="lrTb"/>
            <w:noWrap w:val="false"/>
          </w:tcPr>
          <w:p>
            <w:pPr>
              <w:rPr>
                <w:sz w:val="24"/>
                <w:szCs w:val="24"/>
              </w:rPr>
            </w:pPr>
            <w:r>
              <w:rPr>
                <w:rFonts w:hint="eastAsia"/>
                <w:sz w:val="24"/>
                <w:szCs w:val="24"/>
              </w:rPr>
              <w:t xml:space="preserve">管理中心UPS</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外观保养：清洁、无损伤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风扇工作情况检查：正常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温、湿度检查：0-40℃、20-80%,无凝露</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接地电阻检查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top w:val="single" w:color="auto" w:sz="4" w:space="0"/>
              <w:left w:val="single" w:color="auto" w:sz="4" w:space="0"/>
              <w:right w:val="single" w:color="auto" w:sz="4" w:space="0"/>
            </w:tcBorders>
            <w:tcW w:w="675"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20</w:t>
            </w:r>
            <w:r/>
          </w:p>
        </w:tc>
        <w:tc>
          <w:tcPr>
            <w:tcBorders>
              <w:top w:val="single" w:color="auto" w:sz="4" w:space="0"/>
              <w:left w:val="single" w:color="auto" w:sz="4" w:space="0"/>
              <w:right w:val="single" w:color="auto" w:sz="4" w:space="0"/>
            </w:tcBorders>
            <w:tcW w:w="1701" w:type="dxa"/>
            <w:vMerge w:val="restart"/>
            <w:textDirection w:val="lrTb"/>
            <w:noWrap w:val="false"/>
          </w:tcPr>
          <w:p>
            <w:pPr>
              <w:rPr>
                <w:sz w:val="24"/>
                <w:szCs w:val="24"/>
              </w:rPr>
            </w:pPr>
            <w:r>
              <w:rPr>
                <w:rFonts w:hint="eastAsia"/>
                <w:sz w:val="24"/>
                <w:szCs w:val="24"/>
              </w:rPr>
              <w:t xml:space="preserve">配电柜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外观保养：清洁、无损伤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外观检查：铜鼻子表面有无变色，接线端子有无松动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温、湿度检查：0-40℃、20-80%,无凝露</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接地电阻检查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top w:val="single" w:color="auto" w:sz="4" w:space="0"/>
              <w:left w:val="single" w:color="auto" w:sz="4" w:space="0"/>
              <w:right w:val="single" w:color="auto" w:sz="4" w:space="0"/>
            </w:tcBorders>
            <w:tcW w:w="675"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21</w:t>
            </w:r>
            <w:r/>
          </w:p>
        </w:tc>
        <w:tc>
          <w:tcPr>
            <w:tcBorders>
              <w:top w:val="single" w:color="auto" w:sz="4" w:space="0"/>
              <w:left w:val="single" w:color="auto" w:sz="4" w:space="0"/>
              <w:right w:val="single" w:color="auto" w:sz="4" w:space="0"/>
            </w:tcBorders>
            <w:tcW w:w="1701" w:type="dxa"/>
            <w:vMerge w:val="restart"/>
            <w:textDirection w:val="lrTb"/>
            <w:noWrap w:val="false"/>
          </w:tcPr>
          <w:p>
            <w:pPr>
              <w:rPr>
                <w:sz w:val="24"/>
                <w:szCs w:val="24"/>
              </w:rPr>
            </w:pPr>
            <w:r>
              <w:rPr>
                <w:rFonts w:hint="eastAsia"/>
                <w:sz w:val="24"/>
                <w:szCs w:val="24"/>
              </w:rPr>
              <w:t xml:space="preserve">电池及其机柜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电池组外观检查：无污染或损伤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温、湿度测量：15～25℃,0%～95%, 不凝结</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检查各项电流、电压读数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top w:val="single" w:color="auto" w:sz="4" w:space="0"/>
              <w:left w:val="single" w:color="auto" w:sz="4" w:space="0"/>
              <w:right w:val="single" w:color="auto" w:sz="4" w:space="0"/>
            </w:tcBorders>
            <w:tcW w:w="675"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22</w:t>
            </w:r>
            <w:r/>
          </w:p>
        </w:tc>
        <w:tc>
          <w:tcPr>
            <w:tcBorders>
              <w:top w:val="single" w:color="auto" w:sz="4" w:space="0"/>
              <w:left w:val="single" w:color="auto" w:sz="4" w:space="0"/>
              <w:right w:val="single" w:color="auto" w:sz="4" w:space="0"/>
            </w:tcBorders>
            <w:tcW w:w="1701" w:type="dxa"/>
            <w:vMerge w:val="restart"/>
            <w:textDirection w:val="lrTb"/>
            <w:noWrap w:val="false"/>
          </w:tcPr>
          <w:p>
            <w:pPr>
              <w:rPr>
                <w:sz w:val="24"/>
                <w:szCs w:val="24"/>
              </w:rPr>
            </w:pPr>
            <w:r>
              <w:rPr>
                <w:rFonts w:hint="eastAsia"/>
                <w:sz w:val="24"/>
                <w:szCs w:val="24"/>
              </w:rPr>
              <w:t xml:space="preserve">接地及防雷箱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外观保养：清洁、无损伤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防雷装置</w:t>
            </w:r>
            <w:r>
              <w:rPr>
                <w:rFonts w:hint="eastAsia" w:ascii="宋体" w:hAnsi="宋体"/>
                <w:sz w:val="24"/>
                <w:szCs w:val="24"/>
              </w:rPr>
              <w:t xml:space="preserve">，电源和信号输入端的浪涌保护器是否完好，雷雨季节加强浪涌保护器的巡查，外部防雷装置安装是否牢固，连接导线绝缘是否良好，有无放电痕迹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接地线检查：有无断线、连接部位状态、接地电阻是否正常</w:t>
            </w:r>
            <w:r/>
          </w:p>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接地装置，有无腐蚀，接地电阻是否正常，是否满足设计要求，紧固接地连接，保护处理接地连接段</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bl>
    <w:p>
      <w:r/>
      <w:r/>
    </w:p>
    <w:p>
      <w:r/>
      <w:r/>
    </w:p>
    <w:p>
      <w:pPr>
        <w:pStyle w:val="709"/>
        <w:ind w:firstLine="482"/>
        <w:rPr>
          <w:rFonts w:ascii="宋体" w:hAnsi="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2.2.2照明系统</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2.2.2.1主要运维范围及要求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隧道照明系统主要是为隧道运行管理提供照明，在隧道暗埋段设基本照明和应急照明，在隧道出入口设加强照明，在安全通道、电缆通道设基本照明和应急照明，变电所、水泵房、风机房等设备房内设普通照明（变电所内包含应急照明），隧道安全通道的安全门上方设安全出口标志灯，安全门中间设安全疏散标志灯，隧道管养基地的各类照明等。照明系统运维范围主要是照明管线维护、照明配电箱维护检修、各种照明灯具检修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照明系统运维的主要设备：隧道内基本和加强照明灯具总体采用LED灯，应急照明总体采用A型应急照明灯具，地下人行通道内基本、应急照明灯具总体采用灯管型LED灯，通道出入口总体采用LED灯，隧道泵房内照明采用28W（万福18W）荧光灯管，金湾快速路各隧道泵站照明采用庭院灯，隧道附属亮化设施（含彩屏）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主要要求：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（1）照明光源达到其额定寿命的90%时，应进行成批更换，并选用节能的光源。更换后的照明设施应达到要求。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（2）照明设施运维工具除必备的电工工具、清洁卫生用具外，应配备照度仪等相关设备。</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（3）按采购单位要求统一开启、关闭照明等设施。</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hint="eastAsia"/>
          <w:sz w:val="24"/>
          <w:szCs w:val="24"/>
        </w:rPr>
        <w:t xml:space="preserve">照明系统的完好率应不低于</w:t>
      </w:r>
      <w:r>
        <w:rPr>
          <w:rFonts w:ascii="TimesNewRomanPSMT" w:hAnsi="TimesNewRomanPSMT"/>
          <w:sz w:val="24"/>
          <w:szCs w:val="24"/>
        </w:rPr>
        <w:t xml:space="preserve">95%</w:t>
      </w:r>
      <w:r>
        <w:rPr>
          <w:rFonts w:hint="eastAsia"/>
          <w:sz w:val="24"/>
          <w:szCs w:val="24"/>
        </w:rPr>
        <w:t xml:space="preserve">。</w:t>
      </w:r>
      <w:r/>
    </w:p>
    <w:p>
      <w:pPr>
        <w:ind w:firstLine="480"/>
      </w:pPr>
      <w:r>
        <w:rPr>
          <w:rFonts w:hint="eastAsia" w:ascii="宋体" w:hAnsi="宋体" w:cs="宋体"/>
          <w:sz w:val="24"/>
          <w:szCs w:val="24"/>
        </w:rPr>
        <w:t xml:space="preserve">（5）</w:t>
      </w:r>
      <w:r>
        <w:rPr>
          <w:rFonts w:hint="eastAsia"/>
          <w:sz w:val="24"/>
          <w:szCs w:val="24"/>
        </w:rPr>
        <w:t xml:space="preserve">系统维修开始后2日内未完成检修作业的需填报维修说明。维修量较大且涉及安全风险的需提供维修方案，采购人审核通过后方可实施。</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2.2.2.2日常巡查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照明设施应每天进行日常巡查。照</w:t>
      </w:r>
      <w:r>
        <w:rPr>
          <w:rFonts w:hint="eastAsia"/>
          <w:sz w:val="24"/>
          <w:szCs w:val="24"/>
        </w:rPr>
        <w:t xml:space="preserve">明设施日常巡查，应观察照明设备的外观及运行状态，判断有无异常。汛期、冰冻季节、极端天气和交通量增加明显时应增加日常巡查的频率。日常巡查可采用人工与信息化手段相结合的方式。日常巡查中，发现路面有妨碍通行的障碍物或其他异常情况时，应视情况予以清除或上报，并做好记录。记录方式可以文字记录为主，并配合照相或摄像手段辅助。</w:t>
      </w:r>
      <w:r/>
    </w:p>
    <w:p>
      <w:pPr>
        <w:ind w:firstLine="480"/>
        <w:rPr>
          <w:rFonts w:ascii="宋体" w:hAnsi="宋体" w:cs="宋体"/>
          <w:sz w:val="24"/>
          <w:szCs w:val="24"/>
        </w:rPr>
      </w:pPr>
      <w:r>
        <w:rPr>
          <w:rFonts w:ascii="宋体" w:hAnsi="宋体" w:cs="宋体"/>
          <w:sz w:val="24"/>
          <w:szCs w:val="24"/>
        </w:rPr>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2.2.2.3系统检查及维修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1、设备维护人员每月检查隧道内各类照明开关状态、各照度仪、光度仪测量数据等能按设计要求与中央控制室联动正确。</w:t>
      </w:r>
      <w:r/>
    </w:p>
    <w:p>
      <w:pPr>
        <w:ind w:firstLine="480"/>
      </w:pPr>
      <w:r>
        <w:rPr>
          <w:rFonts w:hint="eastAsia" w:ascii="宋体" w:hAnsi="宋体" w:cs="宋体"/>
          <w:sz w:val="24"/>
          <w:szCs w:val="24"/>
        </w:rPr>
        <w:t xml:space="preserve">2、每年由中标人负责由专业单位对照度仪、光度仪进行校正，确保隧道出入口加强照明按照室外光照亮度控制正确，并将相应校正、调整资料交与采购单位归档。</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3、每年对所有灯具、控制箱的支架、外壳等锈蚀状况进行除锈、防腐、油漆处理。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4、每月进行经常性检修，每年进行定期检修。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5、制定照度、亮度检测方案，并按照相关技术要求每季度对隧道内照度、亮度进行检测。</w:t>
      </w:r>
      <w:r/>
    </w:p>
    <w:p>
      <w:pPr>
        <w:ind w:firstLine="480"/>
      </w:pPr>
      <w:r>
        <w:rPr>
          <w:rFonts w:hint="eastAsia" w:ascii="宋体" w:hAnsi="宋体" w:cs="宋体"/>
          <w:sz w:val="24"/>
          <w:szCs w:val="24"/>
        </w:rPr>
        <w:t xml:space="preserve">6、照明系统应根据养护等级、交通组成、污垢对机电设施功能的影响程度、清洁方式和环境条件等因素进行清洁维护，不得低于1次/月。主要包括隧道灯具、洞外路灯、设备房灯具等。采用湿法清洁时，应注意保护人员安全和机电设施内部电气元件安全，并应防止液体渗入设施内；采用干法清洁时，应采取必要的降尘措施，对清扫不能去除的污垢，经判别可用湿法清洁时，可用清洁剂进行局部特别处理。</w:t>
      </w:r>
      <w:r/>
    </w:p>
    <w:p>
      <w:pPr>
        <w:ind w:firstLine="420"/>
      </w:pPr>
      <w:r/>
      <w:r/>
    </w:p>
    <w:p>
      <w:pPr>
        <w:ind w:firstLine="480"/>
        <w:rPr>
          <w:rFonts w:ascii="宋体" w:hAnsi="宋体" w:cs="宋体"/>
          <w:sz w:val="24"/>
          <w:szCs w:val="24"/>
        </w:rPr>
      </w:pPr>
      <w:r>
        <w:rPr>
          <w:rFonts w:hint="eastAsia" w:ascii="宋体" w:hAnsi="宋体" w:cs="宋体"/>
          <w:sz w:val="24"/>
          <w:szCs w:val="24"/>
        </w:rPr>
        <w:t xml:space="preserve">主要内容如下：</w:t>
      </w:r>
      <w:r/>
    </w:p>
    <w:tbl>
      <w:tblPr>
        <w:tblStyle w:val="717"/>
        <w:tblW w:w="90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088"/>
        <w:gridCol w:w="3398"/>
        <w:gridCol w:w="1134"/>
        <w:gridCol w:w="1275"/>
        <w:gridCol w:w="1560"/>
      </w:tblGrid>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保养项目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日常检查维修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经常性检查维修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定期</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检修</w:t>
            </w:r>
            <w:r/>
          </w:p>
        </w:tc>
      </w:tr>
      <w:tr>
        <w:trPr>
          <w:trHeight w:val="6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8"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隧道灯具（含彩屏）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检查隧道灯具是否损坏、变形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检查隧道灯具亮度是否正常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检查隧道灯具是否闪烁</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检查灯具控制箱门是否关闭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1994"/>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清洁灯具表面</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电压是否稳定</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灯具损坏、变形与更换</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引入线检查，配电箱柜是否积水</w:t>
            </w:r>
            <w:r/>
          </w:p>
          <w:p>
            <w:pPr>
              <w:jc w:val="left"/>
              <w:spacing w:line="360" w:lineRule="auto"/>
              <w:rPr>
                <w:rFonts w:ascii="宋体" w:hAnsi="宋体"/>
                <w:sz w:val="24"/>
                <w:szCs w:val="24"/>
              </w:rPr>
            </w:pPr>
            <w:r>
              <w:rPr>
                <w:rFonts w:hint="eastAsia" w:ascii="宋体" w:hAnsi="宋体"/>
                <w:sz w:val="24"/>
                <w:szCs w:val="24"/>
              </w:rPr>
              <w:t xml:space="preserve">开关装置的准确性与动作状态有无异常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检查灯具表面喷漆是否脱落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检查接地是否牢固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检查灯具内是否积水及腐蚀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检查灯具内各元器件无松动、接线牢固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检查灯具安装是否牢固，如有松动及时调整灯具方向保持灯具的流线型</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检查与中控室的联动是否正常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检查补偿电容、触发器、镇流器正常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检修孔、手孔有无积水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清洁灯具内、外</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对地绝缘检查；</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检查照明线路是否正常、有无发热、绝缘良好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灯具固定螺栓是否牢固、有无锈蚀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灯具清洁后照度测试是否满足设计指标</w:t>
            </w:r>
            <w:r/>
          </w:p>
          <w:p>
            <w:pPr>
              <w:jc w:val="left"/>
              <w:spacing w:line="360" w:lineRule="auto"/>
              <w:rPr>
                <w:rFonts w:ascii="宋体" w:hAnsi="宋体"/>
                <w:sz w:val="24"/>
                <w:szCs w:val="24"/>
              </w:rPr>
            </w:pPr>
            <w:r>
              <w:rPr>
                <w:rFonts w:hint="eastAsia" w:ascii="宋体" w:hAnsi="宋体"/>
                <w:sz w:val="24"/>
                <w:szCs w:val="24"/>
              </w:rPr>
              <w:t xml:space="preserve">脱漆部位补漆及灯具修理更换</w:t>
            </w:r>
            <w:r/>
          </w:p>
          <w:p>
            <w:pPr>
              <w:jc w:val="left"/>
              <w:spacing w:line="360" w:lineRule="auto"/>
              <w:rPr>
                <w:rFonts w:ascii="宋体" w:hAnsi="宋体"/>
                <w:sz w:val="24"/>
                <w:szCs w:val="24"/>
              </w:rPr>
            </w:pPr>
            <w:r>
              <w:rPr>
                <w:rFonts w:hint="eastAsia" w:ascii="宋体" w:hAnsi="宋体"/>
                <w:sz w:val="24"/>
                <w:szCs w:val="24"/>
              </w:rPr>
              <w:t xml:space="preserve">各安装部位有无松动、腐蚀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超过灯具寿命周期后应进行照度测试</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1次/半年</w:t>
            </w:r>
            <w:r/>
          </w:p>
        </w:tc>
      </w:tr>
      <w:tr>
        <w:trPr>
          <w:trHeight w:val="284"/>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光源寿命外的配件更换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密封条是否老化</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检查灯具各元件是否老化</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8"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标志灯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检查指示灯是否损坏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检查指示灯亮度正常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00"/>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清洁灯具外表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检查接地是否牢固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检查灯具内是否积水及腐蚀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检查灯具内各元器件无松动、接线牢固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检查灯具安装是否牢固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检修孔、手孔有无积水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20"/>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清洁灯具内、外</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对地绝缘检查</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检查供电线路是否正常、有无发热、绝缘良好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灯具固定螺栓是否牢固、有无锈蚀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40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8"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管理用房灯具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检查灯具是否损坏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检查指示灯亮度正常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清洁灯具外表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检查接地是否牢固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检查灯具内是否积水及腐蚀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检查灯具内各元器件无松动、接线牢固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检查灯具安装是否牢固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检查电缆夹层安全电压是否正常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65"/>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清洁灯具内、外</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对地绝缘检查</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检查供电线路是否正常、有无发热、绝缘良好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灯具固定螺栓是否牢固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灯具有无老化、锈蚀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34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8"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光度仪、照度仪</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在管理中心检查光度仪、照度仪显示是否正确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清洁照度仪、光度仪表面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用清洁的软布清洁感光部位</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检查安装固定是否松动、朝向是否正确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照度计是否积水及腐蚀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检查供电线路、信号线路是否正常、绝缘良好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灯具固定螺栓是否牢固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光度仪、照度仪校正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8"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照明线路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清洁线路及支架</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检查线路及支架固定牢固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检查回路工作是否正常、发热</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检查线路有无腐蚀及损伤</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检查保护线管有无松动、是否积水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检查接地良好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检查线路支架固定螺丝是否锈蚀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检查线路对地绝缘是否满足要求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检查线路老化情况</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托架是否松动及损伤</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对地绝缘检查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8"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管养基地路灯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检查灯体有无损坏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检查控制单元盖板是否完好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目测亮度是否正常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清洁灯具外表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检查密封是否良好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检查灯杆支架牢固、固定螺丝无松动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检查灯杆外观有无裂纹、焊接及连接部位状况有无异常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检查接线、接地端子有无松动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检查与中控室的联动、显示是否正常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灯体防护等级检查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清洁灯具内部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检查补偿电容、触发器、镇流器正常</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灯杆</w:t>
            </w:r>
            <w:r>
              <w:rPr>
                <w:rFonts w:hint="eastAsia" w:ascii="宋体" w:hAnsi="宋体"/>
                <w:sz w:val="24"/>
                <w:szCs w:val="24"/>
              </w:rPr>
              <w:t xml:space="preserve">有无损伤及涂装破坏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基础设置状况是否稳定，有无开裂、损伤，螺栓有无生锈、松动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8"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景观照明灯具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检查灯具是否损坏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检查指示灯亮度正常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检查灯具安装牢固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45"/>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清洁灯具外壳</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检查固定灯具</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检查灯具外壳是否锈蚀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清洁灯具内部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检查供电线路是否正常、有无发热、绝缘良好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灯具固定螺栓是否牢固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灯具有无老化、锈蚀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bl>
    <w:p>
      <w:r/>
      <w:r/>
    </w:p>
    <w:p>
      <w:pPr>
        <w:pStyle w:val="709"/>
        <w:ind w:firstLine="482"/>
        <w:rPr>
          <w:rFonts w:ascii="宋体" w:hAnsi="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2.2.3通风系统</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2.2.3.1主要运维范围及要求</w:t>
      </w:r>
      <w:r/>
    </w:p>
    <w:p>
      <w:pPr>
        <w:ind w:firstLine="480"/>
        <w:rPr>
          <w:sz w:val="24"/>
          <w:szCs w:val="24"/>
        </w:rPr>
      </w:pPr>
      <w:r>
        <w:rPr>
          <w:rFonts w:hint="eastAsia" w:ascii="宋体" w:hAnsi="宋体" w:cs="宋体"/>
          <w:sz w:val="24"/>
          <w:szCs w:val="24"/>
        </w:rPr>
        <w:t xml:space="preserve">主要为隧道、地下人行通道通风系统，通风系统工程包括隧道和人行下穿通风、设备间、泵房排风机及彩屏空调、管养基地排烟通风风机、新风空调系统等等。其中泵房和设备间通风安装送风机、排风机，万福西路隧道内通风安装双速轴流风机，史可法、相别路地下人行通道内通风安装诱导风机，平山、万福西路、雷塘路隧道彩屏散热安装空调。通风设施应按各种设备的操作规程和保养要求进行，并 使主要性能指标，如风速、推力、功率、噪音及防护等级等符合设计要求。</w:t>
      </w:r>
      <w:r/>
    </w:p>
    <w:p>
      <w:pPr>
        <w:ind w:firstLine="480"/>
        <w:rPr>
          <w:rFonts w:ascii="宋体" w:hAnsi="宋体" w:cs="宋体"/>
          <w:sz w:val="24"/>
          <w:szCs w:val="24"/>
        </w:rPr>
      </w:pPr>
      <w:r>
        <w:rPr>
          <w:rFonts w:hint="eastAsia" w:ascii="宋体" w:hAnsi="宋体" w:cs="宋体"/>
          <w:sz w:val="24"/>
          <w:szCs w:val="24"/>
        </w:rPr>
        <w:t xml:space="preserve">主要运维设施：万福西路隧道内安装双速轴流风机（高速15KW/低速5.1KW）共计34台，平均分布于暗埋段中隔墙顶部；相别路地下人行通道通风安装诱导风机TYPEL，功率120W共计22台；泵房和设备间通风安装送风机、排风机；平山、万福西路、雷塘路隧道彩屏内安装空调共计22台。扬子江路隧道内安装Φ900 22kW可逆射流风机共计12台，平均分布于暗埋段四个出入口内侧。隧道雨废水泵房、泵站和设备间通风安装送风机、排风机。管养基地变电所设置机械通风，自然</w:t>
      </w:r>
      <w:r>
        <w:rPr>
          <w:rFonts w:hint="eastAsia" w:ascii="宋体" w:hAnsi="宋体" w:cs="宋体"/>
          <w:sz w:val="24"/>
          <w:szCs w:val="24"/>
          <w:lang w:val="en-US" w:eastAsia="zh-CN"/>
        </w:rPr>
        <w:t xml:space="preserve">通</w:t>
      </w:r>
      <w:r>
        <w:rPr>
          <w:rFonts w:hint="eastAsia" w:ascii="宋体" w:hAnsi="宋体" w:cs="宋体"/>
          <w:sz w:val="24"/>
          <w:szCs w:val="24"/>
        </w:rPr>
        <w:t xml:space="preserve">风，并设置分体空调；公共卫生间设置机械通风，自然补风；一层厨房设置机械排油烟系统，并设置补风措施；一层厨房设置平时通风兼事故通风，并在厨房的室内外分别设置事故风机手动开启装置；档案室设置气体灭火后通风，自然送风；应急物资、备品备件设置机械排风、自然送风；水泵房设置机械排风，自然送风。新风空调系统安装风冷模块机组7套、变频空调循环泵3台、膨胀水箱、自动加药装置、风机盘管、管道式排气扇、变电所立体式空调2台、消防控制室立体式空调1台等。</w:t>
      </w:r>
      <w:r/>
    </w:p>
    <w:p>
      <w:pPr>
        <w:ind w:firstLine="480"/>
        <w:rPr>
          <w:rFonts w:ascii="宋体" w:hAnsi="宋体" w:cs="宋体"/>
          <w:sz w:val="24"/>
          <w:szCs w:val="24"/>
        </w:rPr>
      </w:pPr>
      <w:r>
        <w:rPr>
          <w:rFonts w:hint="eastAsia" w:ascii="宋体" w:hAnsi="宋体" w:cs="宋体"/>
          <w:sz w:val="24"/>
          <w:szCs w:val="24"/>
        </w:rPr>
        <w:t xml:space="preserve">主要要求：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（1）通风系统主要包括轴流风机、射流风机及消音设备等其配套设施等。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（2）应根据隧道内CO浓度、烟尘浓度等控制风机的开启。</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（3）风机系统发生突然停电等不正常现象时，应立即采取措施。确保风机不发生故障。</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（4）风机在运行工作时，操作人员应注意风机的风量、风压、电流、电压等。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（5）管养基地变电所、10KV配电所、湖西工作井变</w:t>
      </w:r>
      <w:r>
        <w:rPr>
          <w:rFonts w:hint="eastAsia" w:ascii="宋体" w:hAnsi="宋体" w:cs="宋体"/>
          <w:sz w:val="24"/>
          <w:szCs w:val="24"/>
          <w:lang w:val="en-US" w:eastAsia="zh-CN"/>
        </w:rPr>
        <w:t xml:space="preserve">电</w:t>
      </w:r>
      <w:r>
        <w:rPr>
          <w:rFonts w:hint="eastAsia" w:ascii="宋体" w:hAnsi="宋体" w:cs="宋体"/>
          <w:sz w:val="24"/>
          <w:szCs w:val="24"/>
        </w:rPr>
        <w:t xml:space="preserve">所、湖西风塔变电所、湖东工作井变电所、办公区等内设空调系统需具资质的专业单位进行年度保养，以确保其运行正常。</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（6）通风设施应按各种设备的操作规程和运维要求进行，并使主要性能指标，如风速、推力、功率、噪音及防护等级等符合产品说明书的要求。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（7）通风设施运维配备专用全套电工工具和机修工具,</w:t>
      </w:r>
      <w:r>
        <w:rPr>
          <w:rFonts w:hint="eastAsia"/>
          <w:sz w:val="24"/>
          <w:szCs w:val="24"/>
        </w:rPr>
        <w:t xml:space="preserve">必要时配备风压计、风速计、声级计等。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（8）进行通风设施运维时，根据隧道交通流量与通风能力，对交通进行必要的组织和管制。</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（9）在进行定期检修和专项维修后，对隧道通风设施的效率进行全面的测试。</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（10）通风设施专项维修后使其通风能力满足下列要求：①隧道CO允许浓度满足设计要求②隧道烟雾允许浓度满足设计要求。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（11）风机设备的检修须由专业人员操作，尤其关键部位，如电机、风叶等；每次巡视检修均应做好详细记录。</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（12）为确保设备房设备正常运行，各变电所及管养基地配置的空调须由专业单位进行维护，并提供原供货商纯正配件。</w:t>
      </w:r>
      <w:r/>
    </w:p>
    <w:p>
      <w:pPr>
        <w:ind w:firstLine="480"/>
        <w:rPr>
          <w:sz w:val="24"/>
          <w:szCs w:val="24"/>
        </w:rPr>
      </w:pPr>
      <w:r>
        <w:rPr>
          <w:rFonts w:hint="eastAsia" w:ascii="TimesNewRomanPSMT" w:hAnsi="TimesNewRomanPSMT"/>
          <w:sz w:val="24"/>
          <w:szCs w:val="24"/>
        </w:rPr>
        <w:t xml:space="preserve">（13</w:t>
      </w:r>
      <w:r>
        <w:rPr>
          <w:rFonts w:hint="eastAsia"/>
          <w:sz w:val="24"/>
          <w:szCs w:val="24"/>
        </w:rPr>
        <w:t xml:space="preserve">）通风系统的设备完好率不应低于</w:t>
      </w:r>
      <w:r>
        <w:rPr>
          <w:rFonts w:ascii="TimesNewRomanPSMT" w:hAnsi="TimesNewRomanPSMT"/>
          <w:sz w:val="24"/>
          <w:szCs w:val="24"/>
        </w:rPr>
        <w:t xml:space="preserve">98%</w:t>
      </w:r>
      <w:r>
        <w:rPr>
          <w:rFonts w:hint="eastAsia"/>
          <w:sz w:val="24"/>
          <w:szCs w:val="24"/>
        </w:rPr>
        <w:t xml:space="preserve">。</w:t>
      </w:r>
      <w:r/>
    </w:p>
    <w:p>
      <w:pPr>
        <w:ind w:firstLine="480"/>
      </w:pPr>
      <w:r>
        <w:rPr>
          <w:rFonts w:hint="eastAsia"/>
          <w:sz w:val="24"/>
          <w:szCs w:val="24"/>
        </w:rPr>
        <w:t xml:space="preserve">系统维修开始后2日内未完成检修作业的需填报维修说明。维修量较大且涉及安全风险的需提供维修方案，采购人审核通过后方可实施。</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2.2.3.2日常巡查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通风设施应进行日常检查，主要是通过观察设备运转有无异常，确定设备是否存在隐患，并及时排除故障。</w:t>
      </w:r>
      <w:r/>
    </w:p>
    <w:p>
      <w:pPr>
        <w:ind w:firstLine="480"/>
        <w:pBdr>
          <w:top w:val="none" w:color="000000" w:sz="0" w:space="0"/>
          <w:left w:val="none" w:color="000000" w:sz="0" w:space="0"/>
          <w:bottom w:val="none" w:color="000000" w:sz="0" w:space="0"/>
          <w:right w:val="none" w:color="000000" w:sz="0" w:space="0"/>
        </w:pBdr>
      </w:pPr>
      <w:r>
        <w:rPr>
          <w:rFonts w:hint="eastAsia"/>
          <w:sz w:val="24"/>
          <w:szCs w:val="24"/>
        </w:rPr>
        <w:t xml:space="preserve">日常巡查频率宜不少于</w:t>
      </w:r>
      <w:r>
        <w:rPr>
          <w:rFonts w:ascii="TimesNewRomanPSMT" w:hAnsi="TimesNewRomanPSMT"/>
          <w:sz w:val="24"/>
          <w:szCs w:val="24"/>
        </w:rPr>
        <w:t xml:space="preserve">1</w:t>
      </w:r>
      <w:r>
        <w:rPr>
          <w:rFonts w:hint="eastAsia"/>
          <w:sz w:val="24"/>
          <w:szCs w:val="24"/>
        </w:rPr>
        <w:t xml:space="preserve">次</w:t>
      </w:r>
      <w:r>
        <w:rPr>
          <w:rFonts w:ascii="TimesNewRomanPSMT" w:hAnsi="TimesNewRomanPSMT"/>
          <w:sz w:val="24"/>
          <w:szCs w:val="24"/>
        </w:rPr>
        <w:t xml:space="preserve">/</w:t>
      </w:r>
      <w:r>
        <w:rPr>
          <w:rFonts w:hint="eastAsia"/>
          <w:sz w:val="24"/>
          <w:szCs w:val="24"/>
        </w:rPr>
        <w:t xml:space="preserve">天。汛期、冰冻季节、极端天气和交通量增加明显时应增加日常巡查的频率。日常巡查可采用人工与信息化手段相结合的方式。日常巡查中，发现路面有妨碍通行的障碍物或其他异常情况时，应视情况予以清除或上报，并做好记录。记录方式可以文字记录为主，并配合照相或摄像手段辅助。</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2.2.3.3系统检查及维修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1、城市隧道的通风设施应配合防灾设施进行每年不少于两次的模拟火灾情况下的通风及排烟演习；瘦西湖隧道为单向交通，通排烟风速应按2~3m/s进行控制。</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2、每月按设计要求检查所有通风系统设备与中央控制室联动正确。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3、每年对所有风机、消声片、风机管路、支架、控制箱外壳等锈蚀状况进行除锈、防腐、油漆处理。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4、通风设施每月进行经常性检修工作。</w:t>
      </w:r>
      <w:r/>
    </w:p>
    <w:p>
      <w:pPr>
        <w:ind w:firstLine="480"/>
        <w:rPr>
          <w:rFonts w:ascii="宋体" w:hAnsi="宋体" w:cs="宋体"/>
          <w:sz w:val="24"/>
          <w:szCs w:val="24"/>
        </w:rPr>
      </w:pPr>
      <w:r>
        <w:rPr>
          <w:rFonts w:hint="eastAsia" w:ascii="宋体" w:hAnsi="宋体" w:cs="宋体"/>
          <w:sz w:val="24"/>
          <w:szCs w:val="24"/>
        </w:rPr>
        <w:t xml:space="preserve">5、通风设施每年进行定期检修工作。</w:t>
      </w:r>
      <w:r/>
    </w:p>
    <w:p>
      <w:pPr>
        <w:ind w:firstLine="480"/>
      </w:pPr>
      <w:r>
        <w:rPr>
          <w:rFonts w:hint="eastAsia" w:ascii="宋体" w:hAnsi="宋体" w:cs="宋体"/>
          <w:sz w:val="24"/>
          <w:szCs w:val="24"/>
        </w:rPr>
        <w:t xml:space="preserve">6、隧道内消音设备每月维修一次，应保持完好、有效。</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7、射、轴流风机及通道风机日常巡视、检查、维修：风机日常巡视检查每月一次，主要是通过测试噪声、观测设备运转及声音有无异常，以判断设备是否存在隐患，并及时排除故障。</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8、混流风机每月进行一次巡视检查，主要通过测试噪声、观测设备运转及声音有无异常，以判断设备是否存在隐患，以及时排除故障，并对风机外壳及机房内的杂物、灰尘进行清理，以防进入机体，损坏叶片。</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9、变电所通风管道每日进行一次巡视检查，观测管道固定、法兰连接有无松动，法兰垫圈是否老化等。</w:t>
      </w:r>
      <w:r/>
    </w:p>
    <w:p>
      <w:pPr>
        <w:ind w:firstLine="480"/>
      </w:pPr>
      <w:r>
        <w:rPr>
          <w:rFonts w:hint="eastAsia" w:ascii="宋体" w:hAnsi="宋体" w:cs="宋体"/>
          <w:sz w:val="24"/>
          <w:szCs w:val="24"/>
        </w:rPr>
        <w:t xml:space="preserve">10、通风系统应根据养护等级、交通组成、污垢对机电设施功能的影响程度、清洁方式和环境条件等因素进行清洁维护，不得低于1次/月。主要包括轴流风机、射流风机、离心风机、风阀、送风机、通风管道等。采用湿法清洁时，应注意保护人员安全和机电设施内部电气元件安全，并应防止液体渗入设施内；采用干法清洁时，应采取必要的降尘措施，对清扫不能去除的污垢，经判别可用湿法清洁时，可用清洁剂进行局部特别处理。</w:t>
      </w:r>
      <w:r/>
    </w:p>
    <w:p>
      <w:pPr>
        <w:ind w:firstLine="420"/>
      </w:pPr>
      <w:r/>
      <w:r/>
    </w:p>
    <w:p>
      <w:pPr>
        <w:ind w:firstLine="420"/>
      </w:pPr>
      <w:r>
        <w:rPr>
          <w:rFonts w:hint="eastAsia"/>
        </w:rPr>
        <w:t xml:space="preserve">主要内容如下：</w:t>
      </w:r>
      <w:r/>
    </w:p>
    <w:tbl>
      <w:tblPr>
        <w:tblStyle w:val="717"/>
        <w:tblW w:w="90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
        <w:gridCol w:w="1037"/>
        <w:gridCol w:w="3247"/>
        <w:gridCol w:w="1276"/>
        <w:gridCol w:w="1843"/>
        <w:gridCol w:w="1134"/>
      </w:tblGrid>
      <w:tr>
        <w:trPr>
          <w:trHeight w:val="32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保养项目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日常检查维修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经常性检查</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维修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定期</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检修</w:t>
            </w:r>
            <w:r/>
          </w:p>
        </w:tc>
      </w:tr>
      <w:tr>
        <w:trPr>
          <w:trHeight w:val="3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2"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7"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射流风机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检查控制箱门关闭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41"/>
        </w:trPr>
        <w:tc>
          <w:tcPr>
            <w:tcBorders>
              <w:top w:val="single" w:color="auto" w:sz="4" w:space="0"/>
              <w:left w:val="single" w:color="auto" w:sz="4" w:space="0"/>
              <w:bottom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检查控制箱指示、开关位置正确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检查控制箱内有无积水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检查控制箱内及风机接线牢固、无烧痕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检查箱内熔丝等各器件完好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清洁箱体内外、各器件</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清洁风机叶片、外壳、消声器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检查风机运转时有无异响、电流值是否在额定值内，风机反转是否正常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各安装部位有无松动、锈蚀现象，安全吊链的松紧程度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41"/>
        </w:trPr>
        <w:tc>
          <w:tcPr>
            <w:tcBorders>
              <w:top w:val="single" w:color="auto" w:sz="4" w:space="0"/>
              <w:left w:val="single" w:color="auto" w:sz="4" w:space="0"/>
              <w:bottom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维护性开启频率（联动）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（1次/15天）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检查风机固定连接部位有无松动、锈蚀现象</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检查风机、电机转动轴有无异响、振动、过热</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检查风机运行时无喘振</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加注润滑油及轴承清洗</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检查电机必要时拆卸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清洗轴承必要时更换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检查风机安装牢固、各紧固件无锈蚀、老化</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检测电动机绝缘、三相电流平衡情况</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监测风速及推力是否符合要求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按工艺要求油漆锈蚀的风机外表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检查与中控室联动正确</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叶片是否清洁、有无异响</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电动机防护情况检查，运行中的电动机温升是否正常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拆卸组装后的风速及推力测试</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76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2"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7"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轴（混）流风机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检查控制箱门关闭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67"/>
        </w:trPr>
        <w:tc>
          <w:tcPr>
            <w:tcBorders>
              <w:top w:val="single" w:color="auto" w:sz="4" w:space="0"/>
              <w:left w:val="single" w:color="auto" w:sz="4" w:space="0"/>
              <w:bottom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检查控制箱指示灯、仪表指示正确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检查开关处于正确位置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清洁控制箱外表及柜面指示灯、仪表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检查熔丝完好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检查控制箱内及风机接线牢固、无烧痕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检查箱内熔丝等各器件完好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清洁箱体内面、各器件</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清洁风机叶片、外壳、消声片</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清洁风机出入口过滤网、风阀片等</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检查风机运转时有无异响、电流值是否在额定值内</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添加减速机油量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加注风机润滑油</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润滑油冷却装置配管、冷却器、交换器、循环泵的状态，运转中有无震动、异响、过热现象</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检查驱动传动轴的振动与轴承温度有无异常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检查风阀密闭、调整风阀</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运转状态有无异响和异常震动</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各计量仪器、仪表度数是否正确</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气流调节装置动作状态有无异常</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驱动轴接头、齿轮润滑状态有无异常，传动轴的震动与轴承温度有无异常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电动机运转过程中有无异响、震动、过热，连接部的工作状态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33"/>
        </w:trPr>
        <w:tc>
          <w:tcPr>
            <w:tcBorders>
              <w:top w:val="single" w:color="auto" w:sz="4" w:space="0"/>
              <w:left w:val="single" w:color="auto" w:sz="4" w:space="0"/>
              <w:bottom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维护性开启频率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（1次/15天）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096"/>
        </w:trPr>
        <w:tc>
          <w:tcPr>
            <w:tcBorders>
              <w:top w:val="single" w:color="auto" w:sz="4" w:space="0"/>
              <w:left w:val="single" w:color="auto" w:sz="4" w:space="0"/>
              <w:bottom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检查风机固定连接部位有无松动、锈蚀现象</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检查风机、电机转动轴有无异响、振动、过热</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检查风机运行时无喘振</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加注润滑油及轴承清洗</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检查电机必要时拆卸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清洗轴承必要时更换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检查基础螺栓、连接螺栓有无松动、腐蚀现象</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检测电动机绝缘、三相电流平衡情况</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监测风速及推力是否符合要求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按工艺要求油漆锈蚀的风机、消声片外表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检查与中控室联动正确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检查手动旋转的平衡状态更换油脂减速机润滑油</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检查气流调节装置内翼有无损伤、密封材料状态</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测试噪声</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检查消声器吸音材料、更换变质材料</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检查过滤网材料、更换变质材料</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轴承温度、油温、油压有无异常，逆转1h以上的工作状态有无异常，正、反转间隔一定时间的试验，叶片安装状态检查</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减速机有无异响，油温是否正常，润滑油老化试验，更换油脂</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翼面有无损伤、剥离，焊接部位有无损伤，检查叶轮液压调节装置</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导流叶片及异型管有无生锈、涂装剥离、螺母松动</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驱动轴加油脂</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清扫消音器内壁灰尘</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仪表的检查、校正和更换，供油装置的检验，必要时的金属探伤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37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2"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7"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变电所送排风机、通风管道</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检查控制箱指示灯、仪表指示正确等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1245"/>
        </w:trPr>
        <w:tc>
          <w:tcPr>
            <w:tcBorders>
              <w:top w:val="single" w:color="auto" w:sz="4" w:space="0"/>
              <w:left w:val="single" w:color="auto" w:sz="4" w:space="0"/>
              <w:bottom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清洁控制箱外表及柜面指示灯、仪表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检查熔丝完好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检查控制箱内及风机接线牢固、无烧痕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检查箱内各器件完好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清洁箱体内面、各器件</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清洁风机、管路、消声器外壳</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清洁风机出入口过滤网、风阀片等</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检查风机运转时有无异响、电流值是否在额定值内；</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加注风机润滑油</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检查驱动传动轴的振动与轴承温度有无异常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检查风阀密闭、调整风阀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检查风机固定吊架有无松动、锈蚀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检查法兰有无锈蚀、法兰垫圈有无老化、脱落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检查风阀开启、关闭是否灵活，有无卡塞</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检查通风百叶是否松动，叶片开启、闭合是否灵活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检查风机固定连接部位有无松动、锈蚀现象</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检查风机、电机转动轴有无异响、振动、过热</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检查风机运行时无喘振</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加注润滑油及轴承清洗</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检查电机必要时拆卸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清洗轴承必要时更换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检查基础螺栓、连接螺栓有无松动、腐蚀现象</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检测电动机绝缘、三相电流平衡情况</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按工艺要求油漆锈蚀的风机、消声片外表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检查过滤网材料、更换变质材料</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测试管道漏风、风速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37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2"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7"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空调系统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检查线控器温度设置正确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检查空调效果符合设置要求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检查冷剂管路保温层完好、是否滴水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1次/周</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00"/>
        </w:trPr>
        <w:tc>
          <w:tcPr>
            <w:tcBorders>
              <w:top w:val="single" w:color="auto" w:sz="4" w:space="0"/>
              <w:left w:val="single" w:color="auto" w:sz="4" w:space="0"/>
              <w:bottom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清洁线控器表面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清洁空调内、外机表面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检查空调管路支架固定无松动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检查内、外机工作正常、无异常响声、震动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检测空调电机三相电流平衡、电流低于额定值</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检查配电箱及供电线路端子紧固无松动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检查室外机组控制箱是否能防止小动物进入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r>
      <w:tr>
        <w:trPr>
          <w:trHeight w:val="330"/>
        </w:trPr>
        <w:tc>
          <w:tcPr>
            <w:tcBorders>
              <w:top w:val="single" w:color="auto" w:sz="4" w:space="0"/>
              <w:left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清洁空调过滤网</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清洁外机风叶、散热</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检查外机支架牢固无腐蚀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检测绝缘、接地电阻符合要求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检测冷剂压力，必要时补液</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每年对外机支架进行除锈、油漆</w:t>
            </w:r>
            <w:r/>
          </w:p>
        </w:tc>
        <w:tc>
          <w:tcPr>
            <w:tcBorders>
              <w:top w:val="single" w:color="auto" w:sz="4" w:space="0"/>
              <w:left w:val="single" w:color="auto" w:sz="4"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84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none" w:color="000000" w:sz="4" w:space="0"/>
              <w:bottom w:val="single" w:color="000000" w:sz="8" w:space="0"/>
              <w:right w:val="single" w:color="000000" w:sz="8" w:space="0"/>
            </w:tcBorders>
            <w:tcW w:w="11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2次/年</w:t>
            </w:r>
            <w:r/>
          </w:p>
        </w:tc>
      </w:tr>
    </w:tbl>
    <w:p>
      <w:r/>
      <w:r/>
    </w:p>
    <w:p>
      <w:r/>
      <w:r/>
    </w:p>
    <w:p>
      <w:pPr>
        <w:pStyle w:val="709"/>
        <w:ind w:firstLine="482"/>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2.2.4给排水及消防报警系统及要求</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2.2.4.1主要运维范围及要求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给排水及消防报警系统是指用于预防隧道排水、火灾和进行必要救援的设施，包括水泵、给排水管道、火灾报警装置、消防设施、逃生通道等。</w:t>
      </w:r>
      <w:r/>
    </w:p>
    <w:p>
      <w:pPr>
        <w:ind w:firstLine="480"/>
        <w:rPr>
          <w:rFonts w:ascii="宋体" w:hAnsi="宋体" w:cs="宋体"/>
          <w:sz w:val="24"/>
          <w:szCs w:val="24"/>
        </w:rPr>
      </w:pPr>
      <w:r>
        <w:rPr>
          <w:rFonts w:hint="eastAsia" w:ascii="宋体" w:hAnsi="宋体" w:cs="宋体"/>
          <w:sz w:val="24"/>
          <w:szCs w:val="24"/>
        </w:rPr>
        <w:t xml:space="preserve">运河路、文昌中路、平山、雷塘路隧道和相别路人行地下人行通道、龙城路隧道泵站内均只设置手提式干粉灭火器，万福西路路隧道内设置有水成膜泡沫灭火剂、手提式干粉灭火器、地下式室内消火栓62套，在万福西路隧道东侧设置有消防泵房一座，配置消防水泵2台，稳压泵2台。管养基地内设置消火栓、手提式干粉灭火器7套，管养基地北侧设置消防泵房一座，配置消火栓泵2台，喷淋泵2台，消火栓稳压泵2台、喷淋稳压泵2台、湿式报警阀组1套等。</w:t>
      </w:r>
      <w:r/>
    </w:p>
    <w:p>
      <w:pPr>
        <w:ind w:firstLine="480"/>
        <w:rPr>
          <w:rFonts w:ascii="宋体" w:hAnsi="宋体" w:cs="宋体"/>
          <w:sz w:val="24"/>
          <w:szCs w:val="24"/>
        </w:rPr>
      </w:pPr>
      <w:r>
        <w:rPr>
          <w:rFonts w:hint="eastAsia" w:ascii="宋体" w:hAnsi="宋体" w:cs="宋体"/>
          <w:sz w:val="24"/>
          <w:szCs w:val="24"/>
        </w:rPr>
        <w:t xml:space="preserve">运河路隧道在隧道起点设置2条横截沟、终点设置1条横截沟，暗埋段起点与终点位置分别设置一条横截沟，在最低点处设置两条横截沟，并在隧道左右洞行车道左侧设置排水边沟、右侧设排水暗沟，边沟及暗沟与横截沟相连，横截沟与集水池通过泄水孔连接，雨水经提升泵提升后排至老沙河（曲江公园）内，泵房内设潜水泵3台，UPS不间断电源1套，电动葫芦1套。</w:t>
      </w:r>
      <w:r/>
    </w:p>
    <w:p>
      <w:pPr>
        <w:ind w:firstLine="480"/>
        <w:rPr>
          <w:rFonts w:ascii="宋体" w:hAnsi="宋体" w:cs="宋体"/>
          <w:sz w:val="24"/>
          <w:szCs w:val="24"/>
        </w:rPr>
      </w:pPr>
      <w:r>
        <w:rPr>
          <w:rFonts w:hint="eastAsia" w:ascii="宋体" w:hAnsi="宋体" w:cs="宋体"/>
          <w:sz w:val="24"/>
          <w:szCs w:val="24"/>
        </w:rPr>
        <w:t xml:space="preserve">文昌中路隧道在隧道起点与终点位置分别设置1条横截沟，暗埋段起点与终点位置分别设置一条横截沟，在最低点处设置两条横截沟，并在隧道左右洞行车道左侧设置排水边沟、右侧设排水暗沟，边沟及暗沟与横截沟相连，横截沟与集水池通过泄水孔连接，雨水经提升泵提升后排至老沙河（曲江公园）内，泵房内设潜水泵3台，UPS不间断电源1套，电动葫芦1套。</w:t>
      </w:r>
      <w:r/>
    </w:p>
    <w:p>
      <w:pPr>
        <w:ind w:firstLine="480"/>
        <w:rPr>
          <w:rFonts w:ascii="宋体" w:hAnsi="宋体" w:cs="宋体"/>
          <w:sz w:val="24"/>
          <w:szCs w:val="24"/>
        </w:rPr>
      </w:pPr>
      <w:r>
        <w:rPr>
          <w:rFonts w:hint="eastAsia" w:ascii="宋体" w:hAnsi="宋体" w:cs="宋体"/>
          <w:sz w:val="24"/>
          <w:szCs w:val="24"/>
        </w:rPr>
        <w:t xml:space="preserve">万福西路隧道在隧道起点设置1条横截沟、终点设置2条横截沟，出、入口匝道端口及暗埋段处分别设置1条横截沟，主线暗埋段内共有雨废水泵房三座，共设置7条横截沟，并在隧道左右洞行车道左侧设置排水边沟、右侧设排水边、暗沟组合，边沟及暗沟与横截沟相连，横截沟与集水池通过泄水孔连接，1、2号泵房雨水经提升泵提升后排至丁家河（曲江）内，3号泵房雨水经提升泵提升后排至老沙河（曲江公园）内，每个泵房内各设潜水泵3台，电动葫芦各1套。</w:t>
      </w:r>
      <w:r/>
    </w:p>
    <w:p>
      <w:pPr>
        <w:ind w:firstLine="480"/>
        <w:rPr>
          <w:rFonts w:ascii="宋体" w:hAnsi="宋体" w:cs="宋体"/>
          <w:sz w:val="24"/>
          <w:szCs w:val="24"/>
        </w:rPr>
      </w:pPr>
      <w:r>
        <w:rPr>
          <w:rFonts w:hint="eastAsia" w:ascii="宋体" w:hAnsi="宋体" w:cs="宋体"/>
          <w:sz w:val="24"/>
          <w:szCs w:val="24"/>
        </w:rPr>
        <w:t xml:space="preserve">平山隧道在隧道起点与终点位置分别设置1条横截沟，暗埋段终点位置设置一条横截沟，在最低点处设置两条横截沟，并在隧道左右洞行车道左侧设置排水边沟、右侧设排水暗沟，边沟及暗沟与横截沟相连，横截沟与集水池通过泄水孔连接，雨水经提升泵提升后排至濠田河内，泵房内设潜水泵4台，电动葫芦1套。</w:t>
      </w:r>
      <w:r/>
    </w:p>
    <w:p>
      <w:pPr>
        <w:ind w:firstLine="480"/>
        <w:rPr>
          <w:rFonts w:ascii="宋体" w:hAnsi="宋体" w:cs="宋体"/>
          <w:sz w:val="24"/>
          <w:szCs w:val="24"/>
        </w:rPr>
      </w:pPr>
      <w:r>
        <w:rPr>
          <w:rFonts w:hint="eastAsia" w:ascii="宋体" w:hAnsi="宋体" w:cs="宋体"/>
          <w:sz w:val="24"/>
          <w:szCs w:val="24"/>
        </w:rPr>
        <w:t xml:space="preserve">雷塘路隧道在隧道起点与终点位置分别设置1条横截沟，暗埋段起终点位置各设置1条横截沟，在最低点处设置两条横截沟，并在隧道左右洞行车道左侧设置排水边沟、右侧设排水暗沟，边沟及暗沟与横截沟相连，横截沟与集水池通过泄水孔连接，雨水经提升泵提升后排至濠田河内，泵房内设潜水泵4台，电动葫芦1套。</w:t>
      </w:r>
      <w:r/>
    </w:p>
    <w:p>
      <w:pPr>
        <w:ind w:firstLine="480"/>
        <w:rPr>
          <w:rFonts w:ascii="宋体" w:hAnsi="宋体" w:cs="宋体"/>
          <w:sz w:val="24"/>
          <w:szCs w:val="24"/>
        </w:rPr>
      </w:pPr>
      <w:r>
        <w:rPr>
          <w:rFonts w:hint="eastAsia" w:ascii="宋体" w:hAnsi="宋体" w:cs="宋体"/>
          <w:sz w:val="24"/>
          <w:szCs w:val="24"/>
        </w:rPr>
        <w:t xml:space="preserve">相别路隧道在隧道起点位置设置1条横截沟、终点位置设置2条横截沟，暗埋段起终点位置各设置1条横截沟，在最低点处设置两条横截沟，并在隧道行车道两侧及人非通道右侧设置排水暗沟，暗沟与横截沟相连，横截沟与集水池通过泄水孔连接，雨水经提升泵提升后排至濠田河内，泵房内设潜水泵3台，电动葫芦1套。</w:t>
      </w:r>
      <w:r/>
    </w:p>
    <w:p>
      <w:pPr>
        <w:ind w:firstLine="480"/>
        <w:rPr>
          <w:rFonts w:ascii="宋体" w:hAnsi="宋体" w:cs="宋体"/>
          <w:sz w:val="24"/>
          <w:szCs w:val="24"/>
        </w:rPr>
      </w:pPr>
      <w:r>
        <w:rPr>
          <w:rFonts w:hint="eastAsia" w:ascii="宋体" w:hAnsi="宋体" w:cs="宋体"/>
          <w:sz w:val="24"/>
          <w:szCs w:val="24"/>
        </w:rPr>
        <w:t xml:space="preserve">龙城路隧道在隧道起点位置设置1条横截沟、终点位置设置1条横截沟，在最低点处设置两条横截沟，并在隧道行车道右侧设置排水边沟，边沟与横截沟相连，横截沟与汲水池通过泄水孔连接，隧道汲水池与泵站泵池连接，雨水经提升泵提升后排至就近河内，泵站内设潜水泵4台，电动葫芦1套。</w:t>
      </w:r>
      <w:r/>
    </w:p>
    <w:p>
      <w:pPr>
        <w:ind w:firstLine="480"/>
        <w:rPr>
          <w:rFonts w:ascii="宋体" w:hAnsi="宋体" w:cs="宋体"/>
          <w:sz w:val="24"/>
          <w:szCs w:val="24"/>
        </w:rPr>
      </w:pPr>
      <w:r>
        <w:rPr>
          <w:rFonts w:hint="eastAsia" w:ascii="宋体" w:hAnsi="宋体" w:cs="宋体"/>
          <w:sz w:val="24"/>
          <w:szCs w:val="24"/>
        </w:rPr>
        <w:t xml:space="preserve">邗江路、荷花池、渡江南路、开发路隧道内均只设置手提式干粉灭火器，扬子江路隧道内设置有水成膜泡沫灭火器、手提式干粉灭火器、地下式室外消火栓，在扬子江路隧道东侧设置有消防泵房一座，配置消防水泵2台，稳压泵2台。</w:t>
      </w:r>
      <w:r/>
    </w:p>
    <w:p>
      <w:pPr>
        <w:ind w:firstLine="480"/>
        <w:rPr>
          <w:rFonts w:ascii="宋体" w:hAnsi="宋体" w:cs="宋体"/>
          <w:sz w:val="24"/>
          <w:szCs w:val="24"/>
        </w:rPr>
      </w:pPr>
      <w:r>
        <w:rPr>
          <w:rFonts w:hint="eastAsia" w:ascii="宋体" w:hAnsi="宋体" w:cs="宋体"/>
          <w:sz w:val="24"/>
          <w:szCs w:val="24"/>
        </w:rPr>
        <w:t xml:space="preserve">邗江路隧道在隧道最低点设雨水泵房一座，在隧道暗埋段起点和终点位置分别设置一条横截沟，在最低点处设置两条横截沟，并在隧道右洞右侧设置边沟，边沟与集水池通过管道连接，雨水经提升泵提升后，排至新城河，泵房内设潜水泵四台，EPS消防应急电源1台，电动葫芦1套。</w:t>
      </w:r>
      <w:r/>
    </w:p>
    <w:p>
      <w:pPr>
        <w:ind w:firstLine="480"/>
        <w:rPr>
          <w:rFonts w:ascii="宋体" w:hAnsi="宋体" w:cs="宋体"/>
          <w:sz w:val="24"/>
          <w:szCs w:val="24"/>
        </w:rPr>
      </w:pPr>
      <w:r>
        <w:rPr>
          <w:rFonts w:hint="eastAsia" w:ascii="宋体" w:hAnsi="宋体" w:cs="宋体"/>
          <w:sz w:val="24"/>
          <w:szCs w:val="24"/>
        </w:rPr>
        <w:t xml:space="preserve">扬子江路隧道在隧道两端的敞开段与暗埋段各设一座雨水泵房，并在隧道暗埋段起点和终点分别设置一条横截沟，拦截隧道引道段雨水进入集水池，雨水经泵站提升后，排至西沙河，两座雨水泵房内各设置三台潜水泵，最低点废水泵房内设置潜水泵2台，UPS不间断电源2台，EPS消防应急电源2台，电动葫芦3套。</w:t>
      </w:r>
      <w:r/>
    </w:p>
    <w:p>
      <w:pPr>
        <w:ind w:firstLine="480"/>
        <w:rPr>
          <w:rFonts w:ascii="宋体" w:hAnsi="宋体" w:cs="宋体"/>
          <w:sz w:val="24"/>
          <w:szCs w:val="24"/>
        </w:rPr>
      </w:pPr>
      <w:r>
        <w:rPr>
          <w:rFonts w:hint="eastAsia" w:ascii="宋体" w:hAnsi="宋体" w:cs="宋体"/>
          <w:sz w:val="24"/>
          <w:szCs w:val="24"/>
        </w:rPr>
        <w:t xml:space="preserve">荷花池隧道在隧道最低点处设置一处雨水泵房，雨水经水泵提升后排入室外的压力检查井，泄压后就近排入市政雨水管网，雨水泵房设潜水泵三台。</w:t>
      </w:r>
      <w:r/>
    </w:p>
    <w:p>
      <w:pPr>
        <w:ind w:firstLine="480"/>
        <w:rPr>
          <w:rFonts w:ascii="宋体" w:hAnsi="宋体" w:cs="宋体"/>
          <w:sz w:val="24"/>
          <w:szCs w:val="24"/>
        </w:rPr>
      </w:pPr>
      <w:r>
        <w:rPr>
          <w:rFonts w:hint="eastAsia" w:ascii="宋体" w:hAnsi="宋体" w:cs="宋体"/>
          <w:sz w:val="24"/>
          <w:szCs w:val="24"/>
        </w:rPr>
        <w:t xml:space="preserve">渡江南路隧道分别于隧道两端端口各设置一条横截沟，最低处设置一道排水暗管，雨水由横截沟、排水暗管汇集后就近排入雨水泵房。雨水经水泵提升后排入室外压力检查井，泄压后就近排入市政雨水管网，泵房内各设潜水泵3台，电动葫芦各1套。</w:t>
      </w:r>
      <w:r/>
    </w:p>
    <w:p>
      <w:pPr>
        <w:ind w:firstLine="480"/>
        <w:rPr>
          <w:rFonts w:ascii="宋体" w:hAnsi="宋体" w:cs="宋体"/>
          <w:sz w:val="24"/>
          <w:szCs w:val="24"/>
        </w:rPr>
      </w:pPr>
      <w:r>
        <w:rPr>
          <w:rFonts w:hint="eastAsia" w:ascii="宋体" w:hAnsi="宋体" w:cs="宋体"/>
          <w:sz w:val="24"/>
          <w:szCs w:val="24"/>
        </w:rPr>
        <w:t xml:space="preserve">开发路隧道分别于隧道两端端口设置横截沟及雨水泵房，雨水经水泵提升后排入室外的压力检查井，泄压后就近排入受纳水体，泵房内各隧道最低</w:t>
      </w:r>
      <w:r>
        <w:rPr>
          <w:rFonts w:hint="eastAsia" w:ascii="宋体" w:hAnsi="宋体" w:cs="宋体"/>
          <w:sz w:val="24"/>
          <w:szCs w:val="24"/>
          <w:lang w:val="en-US" w:eastAsia="zh-CN"/>
        </w:rPr>
        <w:t xml:space="preserve">处</w:t>
      </w:r>
      <w:r>
        <w:rPr>
          <w:rFonts w:hint="eastAsia" w:ascii="宋体" w:hAnsi="宋体" w:cs="宋体"/>
          <w:sz w:val="24"/>
          <w:szCs w:val="24"/>
        </w:rPr>
        <w:t xml:space="preserve">设潜水泵3台，电动葫芦各1套。</w:t>
      </w:r>
      <w:r/>
    </w:p>
    <w:p>
      <w:pPr>
        <w:ind w:firstLine="480"/>
        <w:rPr>
          <w:rFonts w:ascii="宋体" w:hAnsi="宋体" w:cs="宋体"/>
          <w:sz w:val="24"/>
          <w:szCs w:val="24"/>
        </w:rPr>
      </w:pPr>
      <w:r>
        <w:rPr>
          <w:rFonts w:hint="eastAsia" w:ascii="宋体" w:hAnsi="宋体" w:cs="宋体"/>
          <w:sz w:val="24"/>
          <w:szCs w:val="24"/>
        </w:rPr>
        <w:t xml:space="preserve">文昌东路隧道在隧道东北侧设置泵站一处、设置一道排水暗管，雨水由横截沟、排水暗管汇集后排入泵池，雨水经水泵提升后排入室外压力检查井，泄压后就近排入受纳水体，泵房内设潜水泵4台，电动葫芦2套，格栅除污机1套。</w:t>
      </w:r>
      <w:r/>
    </w:p>
    <w:p>
      <w:pPr>
        <w:ind w:firstLine="480"/>
        <w:rPr>
          <w:rFonts w:ascii="宋体" w:hAnsi="宋体" w:cs="宋体"/>
          <w:sz w:val="24"/>
          <w:szCs w:val="24"/>
        </w:rPr>
      </w:pPr>
      <w:r>
        <w:rPr>
          <w:rFonts w:hint="eastAsia" w:ascii="宋体" w:hAnsi="宋体" w:cs="宋体"/>
          <w:sz w:val="24"/>
          <w:szCs w:val="24"/>
        </w:rPr>
        <w:t xml:space="preserve">韩许河路隧道在隧道东南侧设置泵站一处、隧道最低</w:t>
      </w:r>
      <w:r>
        <w:rPr>
          <w:rFonts w:hint="eastAsia" w:ascii="宋体" w:hAnsi="宋体" w:cs="宋体"/>
          <w:sz w:val="24"/>
          <w:szCs w:val="24"/>
          <w:lang w:val="en-US" w:eastAsia="zh-CN"/>
        </w:rPr>
        <w:t xml:space="preserve">处</w:t>
      </w:r>
      <w:r>
        <w:rPr>
          <w:rFonts w:hint="eastAsia" w:ascii="宋体" w:hAnsi="宋体" w:cs="宋体"/>
          <w:sz w:val="24"/>
          <w:szCs w:val="24"/>
        </w:rPr>
        <w:t xml:space="preserve">设置一道排水暗管，雨水由横截沟、排水暗管汇集后排入泵池，雨水经水泵提升后排入室外压力检查井，泄压后就近排入受纳水体，泵房内设潜水泵4台，电动葫芦2套，格栅除污机1套。</w:t>
      </w:r>
      <w:r/>
    </w:p>
    <w:p>
      <w:pPr>
        <w:ind w:firstLine="480"/>
        <w:rPr>
          <w:rFonts w:ascii="宋体" w:hAnsi="宋体" w:cs="宋体"/>
          <w:sz w:val="24"/>
          <w:szCs w:val="24"/>
        </w:rPr>
      </w:pPr>
      <w:r>
        <w:rPr>
          <w:rFonts w:hint="eastAsia" w:ascii="宋体" w:hAnsi="宋体" w:cs="宋体"/>
          <w:sz w:val="24"/>
          <w:szCs w:val="24"/>
        </w:rPr>
        <w:t xml:space="preserve">管养基地设置1座化粪池，对生活污水进行简单处理，在西南侧设有1座污水提升泵，将污水加压提升排入市政污水管；雨水收集系统：雨水经室外管网收集后排入室外PP雨水回收利用装置，处理达标用于绿化浇洒和道路冲洗用水，超标雨水排至市政雨水管网。消防、生活给水：从管养基地东侧引1条DN100给水管（与消防系统合用），从该管引接1条DN80生活给水管，沿建筑环状布置，供生活用水及消防。</w:t>
      </w:r>
      <w:r/>
    </w:p>
    <w:p>
      <w:pPr>
        <w:ind w:firstLine="480"/>
        <w:rPr>
          <w:rFonts w:ascii="宋体" w:hAnsi="宋体" w:cs="宋体"/>
          <w:sz w:val="24"/>
          <w:szCs w:val="24"/>
        </w:rPr>
      </w:pPr>
      <w:r>
        <w:rPr>
          <w:rFonts w:hint="eastAsia" w:ascii="宋体" w:hAnsi="宋体" w:cs="宋体"/>
          <w:sz w:val="24"/>
          <w:szCs w:val="24"/>
        </w:rPr>
        <w:t xml:space="preserve">隧道火灾报警系统由感温火灾探测器、双波长报警和手动报警按钮等设备检测火警。隧道内通过感温光纤、双波长火焰探测器和手动报警按钮来触发火警。</w:t>
      </w:r>
      <w:r/>
    </w:p>
    <w:p>
      <w:pPr>
        <w:ind w:firstLine="480"/>
        <w:rPr>
          <w:rFonts w:ascii="宋体" w:hAnsi="宋体" w:cs="宋体"/>
          <w:sz w:val="24"/>
          <w:szCs w:val="24"/>
        </w:rPr>
      </w:pPr>
      <w:r>
        <w:rPr>
          <w:rFonts w:hint="eastAsia" w:ascii="宋体" w:hAnsi="宋体" w:cs="宋体"/>
          <w:sz w:val="24"/>
          <w:szCs w:val="24"/>
        </w:rPr>
        <w:t xml:space="preserve">火灾报警系统主要包括以下设备：火灾报警主机3台、感温光纤主机1台、双波长火焰探测器47个、声光报警器47个、感烟探测器6个、感温电缆6656米。管养基地火灾报警主机1台、图形显示装置1台、消防电话及主机1套、消防广播及主机1套、消防电源监控主机1套、电气火灾监控主机1套、防火门监控分机1套、柜式七氟丙烷（气体灭火装置）4套、感烟火灾探测器138套、感温火灾探测器8套、可燃气体探测器12套、消火栓启泵按钮15套、火灾声光警报器23套、火警警铃3套。</w:t>
      </w:r>
      <w:r/>
    </w:p>
    <w:p>
      <w:pPr>
        <w:ind w:firstLine="480"/>
        <w:rPr>
          <w:rFonts w:ascii="宋体" w:hAnsi="宋体" w:cs="宋体"/>
          <w:sz w:val="24"/>
          <w:szCs w:val="24"/>
        </w:rPr>
      </w:pPr>
      <w:r>
        <w:rPr>
          <w:rFonts w:hint="eastAsia" w:ascii="宋体" w:hAnsi="宋体" w:cs="宋体"/>
          <w:sz w:val="24"/>
          <w:szCs w:val="24"/>
        </w:rPr>
        <w:t xml:space="preserve">城南快速路隧道群火灾报警工作站一台、火灾报警主机4台区域主机和1台主机，感温光纤主机4台、双波长火焰探测器88个、声光报警器84个、手动火灾报警按钮84套、智能感烟探测器2个、感温光栅8500米等。</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787"/>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主要要求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（1）隧道内的消防安全疏散指示标志和应急照明设施，保持防火门、消防安全疏散指示标志、应急照明、机械排烟送风、火灾事故广播等设施处于正常状态。</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（2）隧道内不得存放汽油、煤油等易燃物品。通道内严禁明火作业和取暖。紧急停车带不得堆放杂物。</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（3）隧道内禁止其他影响安全疏散的行为。</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（4）隧道中标人应当为公安消防机构抢救人员、扑救火灾提供便利和条件。</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（5）结合隧道的实际情况，制定隧道的灭火和应急疏散预案，按照相应的应急方案至少每年进行两次演练，并结合实际，不断完善预案。</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当建立健全消防档案，对消防档案统一保管、备查，消防档案应当包括消防安全基本情况和消防安全管理情况。消防档案应当详实，全面反映城市隧道的消防工作的基本情况，并附有必要的图表，根据情况变化及时更新。</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（7）消防专项检查应由相关资质的专业单位承担，且出具符合消防主管部门认可的合格检测报告。</w:t>
      </w:r>
      <w:r/>
    </w:p>
    <w:p>
      <w:pPr>
        <w:ind w:firstLine="480"/>
        <w:rPr>
          <w:rFonts w:ascii="宋体" w:hAnsi="宋体" w:cs="宋体"/>
          <w:sz w:val="24"/>
          <w:szCs w:val="24"/>
        </w:rPr>
      </w:pPr>
      <w:r>
        <w:rPr>
          <w:rFonts w:hint="eastAsia" w:ascii="宋体" w:hAnsi="宋体" w:cs="宋体"/>
          <w:sz w:val="24"/>
          <w:szCs w:val="24"/>
        </w:rPr>
        <w:t xml:space="preserve">（8）当隧道发生火灾事故，所有值班人员应按照相关预案指示步骤熟练而灵活的完成所有动作，尽快控制火情，合理引导事故现场人员撤离。</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（9）每年至少进行两次隧道消防演习。目的为训练值班人员的应变处置能力，同时检测各设备的联动功能。</w:t>
      </w:r>
      <w:r/>
    </w:p>
    <w:p>
      <w:pPr>
        <w:ind w:firstLine="480"/>
        <w:rPr>
          <w:rFonts w:ascii="宋体" w:hAnsi="宋体" w:cs="宋体"/>
          <w:sz w:val="24"/>
          <w:szCs w:val="24"/>
        </w:rPr>
      </w:pPr>
      <w:r>
        <w:rPr>
          <w:rFonts w:hint="eastAsia" w:ascii="宋体" w:hAnsi="宋体" w:cs="宋体"/>
          <w:sz w:val="24"/>
          <w:szCs w:val="24"/>
        </w:rPr>
        <w:t xml:space="preserve">（10）设备及周围环境应保持整洁、卫生。</w:t>
      </w:r>
      <w:r/>
    </w:p>
    <w:p>
      <w:pPr>
        <w:ind w:firstLine="480"/>
        <w:rPr>
          <w:sz w:val="24"/>
          <w:szCs w:val="24"/>
        </w:rPr>
      </w:pPr>
      <w:r>
        <w:rPr>
          <w:rFonts w:hint="eastAsia" w:ascii="宋体" w:hAnsi="宋体" w:cs="宋体"/>
          <w:sz w:val="24"/>
          <w:szCs w:val="24"/>
        </w:rPr>
        <w:t xml:space="preserve">（11）</w:t>
      </w:r>
      <w:r>
        <w:rPr>
          <w:rFonts w:hint="eastAsia"/>
          <w:sz w:val="24"/>
          <w:szCs w:val="24"/>
        </w:rPr>
        <w:t xml:space="preserve">消防与救援设施检查保养期间应有相应的防灾措施。</w:t>
      </w:r>
      <w:r/>
    </w:p>
    <w:p>
      <w:pPr>
        <w:ind w:firstLine="480"/>
        <w:rPr>
          <w:sz w:val="24"/>
          <w:szCs w:val="24"/>
        </w:rPr>
      </w:pPr>
      <w:r>
        <w:rPr>
          <w:rFonts w:hint="eastAsia" w:ascii="宋体" w:hAnsi="宋体" w:cs="宋体"/>
          <w:sz w:val="24"/>
          <w:szCs w:val="24"/>
        </w:rPr>
        <w:t xml:space="preserve">（12）</w:t>
      </w:r>
      <w:r>
        <w:rPr>
          <w:rFonts w:hint="eastAsia"/>
          <w:sz w:val="24"/>
          <w:szCs w:val="24"/>
        </w:rPr>
        <w:t xml:space="preserve">消防和救援设施的设备完好率应达到</w:t>
      </w:r>
      <w:r>
        <w:rPr>
          <w:rFonts w:ascii="TimesNewRomanPSMT" w:hAnsi="TimesNewRomanPSMT"/>
          <w:sz w:val="24"/>
          <w:szCs w:val="24"/>
        </w:rPr>
        <w:t xml:space="preserve">100%</w:t>
      </w:r>
      <w:r>
        <w:rPr>
          <w:rFonts w:hint="eastAsia"/>
          <w:sz w:val="24"/>
          <w:szCs w:val="24"/>
        </w:rPr>
        <w:t xml:space="preserve">。</w:t>
      </w:r>
      <w:r/>
    </w:p>
    <w:p>
      <w:pPr>
        <w:ind w:firstLine="480"/>
      </w:pPr>
      <w:r>
        <w:rPr>
          <w:rFonts w:hint="eastAsia"/>
          <w:sz w:val="24"/>
          <w:szCs w:val="24"/>
        </w:rPr>
        <w:t xml:space="preserve">（13）系统维修开始后2日内未完成检修作业的需填报维修说明。维修量较大且涉及安全风险的需提供维修方案，采购人审核通过后方可实施。</w:t>
      </w:r>
      <w:r/>
    </w:p>
    <w:p>
      <w:pPr>
        <w:ind w:firstLine="480"/>
        <w:rPr>
          <w:rFonts w:ascii="宋体" w:hAnsi="宋体" w:cs="宋体"/>
          <w:sz w:val="24"/>
          <w:szCs w:val="24"/>
        </w:rPr>
      </w:pPr>
      <w:r>
        <w:rPr>
          <w:rFonts w:ascii="宋体" w:hAnsi="宋体" w:cs="宋体"/>
          <w:sz w:val="24"/>
          <w:szCs w:val="24"/>
        </w:rPr>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2.2.4.2日常巡查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日常防火巡检2小时一次，主要检查设备运行效果和完好状况。重点关注报警主机上的报警、故障、隔离等信息，出现任何一种信息都应及时处理和记录。</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日常运行中出现的所有设备设施故障都应按照“运维目标”中要求的抢修时间进行修复。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给排水及消防设施日常巡查，应观察各类给排水、消防设备的外观及运行状态，判断有无异常。</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日常巡查频率宜不少于</w:t>
      </w:r>
      <w:r>
        <w:rPr>
          <w:rFonts w:ascii="TimesNewRomanPSMT" w:hAnsi="TimesNewRomanPSMT"/>
          <w:sz w:val="24"/>
          <w:szCs w:val="24"/>
        </w:rPr>
        <w:t xml:space="preserve">1</w:t>
      </w:r>
      <w:r>
        <w:rPr>
          <w:rFonts w:hint="eastAsia"/>
          <w:sz w:val="24"/>
          <w:szCs w:val="24"/>
        </w:rPr>
        <w:t xml:space="preserve">次</w:t>
      </w:r>
      <w:r>
        <w:rPr>
          <w:rFonts w:ascii="TimesNewRomanPSMT" w:hAnsi="TimesNewRomanPSMT"/>
          <w:sz w:val="24"/>
          <w:szCs w:val="24"/>
        </w:rPr>
        <w:t xml:space="preserve">/</w:t>
      </w:r>
      <w:r>
        <w:rPr>
          <w:rFonts w:hint="eastAsia"/>
          <w:sz w:val="24"/>
          <w:szCs w:val="24"/>
        </w:rPr>
        <w:t xml:space="preserve">天。汛期、冰冻季节、极端天气和交通量增加明显时应增加日常巡查的频率。日常巡查可采用人工与信息化手段相结合的方式。日常巡查中，发现路面有妨碍通行的障碍物或其他异常情况时，应视情况予以清除或上报，并做好记录。记录方式可以文字记录为主，并配合照相或摄像手段辅助。</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日常巡查需做好水表的读数记录（每日一次）。</w:t>
      </w:r>
      <w:r/>
    </w:p>
    <w:p>
      <w:pPr>
        <w:ind w:firstLine="420"/>
      </w:pPr>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2.2.4.3系统检查及维修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1、每月按设计要求检查所有给排水、消防与救援系统设备与中央控制室联动正确。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按照有关规定定期委托第三方检测机构对其自动消防设施进行全面检查测试，并出具检测报告，存档备查。对消防救援设施应当建立档案资料，记明配置类型、数量、设置位置、检查维修单位(人员)、更换药剂的时间等有关情况。</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3、按规定定期由扬州技术监督局对需检的电动葫芦等相关设备进行检测并合格，相关资料归档。</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4、每年对所有水泵、阀、结合器、室外消火栓、管路、支架、控制箱外壳、泵房盖板等锈蚀状况进行除锈、防腐、油漆处理。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5、每月对隧道现场火灾探测设备进行一次巡检，查看火焰探测器、感温光纤和手报按钮是否安装牢固、有无损坏。日常检修中应及时处理报警主机上的异常信息。</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6、每月进行一次安全检查，主要检查系统内所有设备的外观、紧固和功能完善情况。并做好安全检查记录。</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7、每年对隧道内、变电所和管养基地的所有手报按钮、启泵按钮和烟感温感光感探测器进行两次除尘和固定件紧固。</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8、每年对所有设备及其箱柜进行一次接地绝缘检测，检查其接地性能，接地应小于1Ω，尽可能小为最佳。</w:t>
      </w:r>
      <w:r/>
    </w:p>
    <w:p>
      <w:pPr>
        <w:ind w:firstLine="480"/>
      </w:pPr>
      <w:r>
        <w:rPr>
          <w:rFonts w:hint="eastAsia" w:ascii="宋体" w:hAnsi="宋体" w:cs="宋体"/>
          <w:sz w:val="24"/>
          <w:szCs w:val="24"/>
        </w:rPr>
        <w:t xml:space="preserve">9、按计划进行经常性检修和定期检修。维护时应严格按照操作规范和厂家说明书的要求进行。</w:t>
      </w:r>
      <w:r/>
    </w:p>
    <w:p>
      <w:pPr>
        <w:ind w:firstLine="480"/>
        <w:rPr>
          <w:rFonts w:ascii="宋体" w:hAnsi="宋体" w:cs="宋体"/>
          <w:sz w:val="24"/>
          <w:szCs w:val="24"/>
        </w:rPr>
      </w:pPr>
      <w:r>
        <w:rPr>
          <w:rFonts w:hint="eastAsia" w:ascii="宋体" w:hAnsi="宋体" w:cs="宋体"/>
          <w:sz w:val="24"/>
          <w:szCs w:val="24"/>
        </w:rPr>
        <w:t xml:space="preserve">10、给排水及消防系统应根据养护等级、交通组成、污垢对机电设施功能的影响程度、清洁方式和环境条件等因素进行清洁维护，不得低于1次/月。主要包括水泵、管道及阀门、水泵耦合器、液位检测器、消火栓、灭火器、电动葫芦、自动灭火设施、气体灭火设施、电光标志、消防主机、手报按钮、探测器、火灾报警器等。采用湿法清洁时，应注意保护人员安全和机电设施内部电气元件安全，并应防止液体渗入设施内；采用干法清洁时，应采取必要的降尘措施，对清扫不能去除的污垢，经判别可用湿法清洁时，可用清洁剂进行局部特别处理。</w:t>
      </w:r>
      <w:r/>
    </w:p>
    <w:p>
      <w:pPr>
        <w:ind w:firstLine="420"/>
      </w:pPr>
      <w:r/>
      <w:r/>
    </w:p>
    <w:p>
      <w:pPr>
        <w:ind w:firstLine="420"/>
      </w:pPr>
      <w:r>
        <w:rPr>
          <w:rFonts w:hint="eastAsia"/>
        </w:rPr>
        <w:t xml:space="preserve">主要内容如下：</w:t>
      </w:r>
      <w:r/>
    </w:p>
    <w:tbl>
      <w:tblPr>
        <w:tblStyle w:val="717"/>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8"/>
        <w:gridCol w:w="1416"/>
        <w:gridCol w:w="2996"/>
        <w:gridCol w:w="1309"/>
        <w:gridCol w:w="1228"/>
        <w:gridCol w:w="1757"/>
        <w:gridCol w:w="10"/>
      </w:tblGrid>
      <w:tr>
        <w:trPr>
          <w:trHeight w:val="284"/>
        </w:trPr>
        <w:tc>
          <w:tcPr>
            <w:gridSpan w:val="2"/>
            <w:tcMar>
              <w:left w:w="108" w:type="dxa"/>
              <w:top w:w="0" w:type="dxa"/>
              <w:right w:w="108" w:type="dxa"/>
              <w:bottom w:w="0" w:type="dxa"/>
            </w:tcMar>
            <w:tcW w:w="46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Mar>
              <w:left w:w="108" w:type="dxa"/>
              <w:top w:w="0" w:type="dxa"/>
              <w:right w:w="108" w:type="dxa"/>
              <w:bottom w:w="0" w:type="dxa"/>
            </w:tcMar>
            <w:tcW w:w="141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设备名称</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保养项目</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日常检查维修</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经常性检查维修</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定期检修</w:t>
            </w:r>
            <w:r/>
          </w:p>
        </w:tc>
      </w:tr>
      <w:tr>
        <w:trPr>
          <w:trHeight w:val="284"/>
        </w:trPr>
        <w:tc>
          <w:tcPr>
            <w:gridSpan w:val="2"/>
            <w:tcMar>
              <w:left w:w="108" w:type="dxa"/>
              <w:top w:w="0" w:type="dxa"/>
              <w:right w:w="108" w:type="dxa"/>
              <w:bottom w:w="0" w:type="dxa"/>
            </w:tcMar>
            <w:tcW w:w="46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Mar>
              <w:left w:w="108" w:type="dxa"/>
              <w:top w:w="0" w:type="dxa"/>
              <w:right w:w="108" w:type="dxa"/>
              <w:bottom w:w="0" w:type="dxa"/>
            </w:tcMar>
            <w:tcW w:w="141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火灾报警器</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检查火灾报警器数量正确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检查外罩、外观完整</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1335"/>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清洁火灾传感器表面、感应部位</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进行火灾传感器各回路报警试验</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检查手动报警按钮灵活</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检查防水性能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线缆连接是否正常</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62"/>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检查连线端子紧固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检查传感器安装牢固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报警试验</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387"/>
        </w:trPr>
        <w:tc>
          <w:tcPr>
            <w:gridSpan w:val="2"/>
            <w:tcMar>
              <w:left w:w="108" w:type="dxa"/>
              <w:top w:w="0" w:type="dxa"/>
              <w:right w:w="108" w:type="dxa"/>
              <w:bottom w:w="0" w:type="dxa"/>
            </w:tcMar>
            <w:tcW w:w="46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Mar>
              <w:left w:w="108" w:type="dxa"/>
              <w:top w:w="0" w:type="dxa"/>
              <w:right w:w="108" w:type="dxa"/>
              <w:bottom w:w="0" w:type="dxa"/>
            </w:tcMar>
            <w:tcW w:w="141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消火栓</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检查消火栓外观完整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检查消火栓是否漏水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检查消火栓压力表显示正常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检查消火栓门完好</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1次/周（隧道内）、</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1次/日（其余部位）</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972"/>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检查消火栓</w:t>
            </w:r>
            <w:r>
              <w:rPr>
                <w:rFonts w:hint="eastAsia" w:ascii="宋体" w:hAnsi="宋体"/>
                <w:sz w:val="24"/>
                <w:szCs w:val="24"/>
              </w:rPr>
              <w:t xml:space="preserve">有无漏水、</w:t>
            </w:r>
            <w:r>
              <w:rPr>
                <w:rFonts w:hint="eastAsia" w:ascii="宋体" w:hAnsi="宋体" w:cs="宋体"/>
                <w:sz w:val="24"/>
                <w:szCs w:val="24"/>
              </w:rPr>
              <w:t xml:space="preserve">是否腐蚀、软管破损</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消火栓的放水试验及水压试验</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室外消火栓放水试验</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43"/>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做好寒冷季节消防管道的保温防冻工作</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对锈蚀部分除锈、油漆</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泡沫消火栓的使用与防</w:t>
            </w:r>
            <w:r>
              <w:rPr>
                <w:rFonts w:hint="eastAsia" w:ascii="宋体" w:hAnsi="宋体"/>
                <w:sz w:val="24"/>
                <w:szCs w:val="24"/>
                <w:lang w:val="en-US" w:eastAsia="zh-CN"/>
              </w:rPr>
              <w:t xml:space="preserve">漏</w:t>
            </w:r>
            <w:r>
              <w:rPr>
                <w:rFonts w:hint="eastAsia" w:ascii="宋体" w:hAnsi="宋体"/>
                <w:sz w:val="24"/>
                <w:szCs w:val="24"/>
              </w:rPr>
              <w:t xml:space="preserve">检查</w:t>
            </w:r>
            <w:r>
              <w:rPr>
                <w:rFonts w:ascii="宋体" w:hAnsi="宋体" w:cs="宋体"/>
                <w:sz w:val="24"/>
                <w:szCs w:val="24"/>
              </w:rPr>
              <w:t xml:space="preserve"> </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65"/>
        </w:trPr>
        <w:tc>
          <w:tcPr>
            <w:gridSpan w:val="2"/>
            <w:tcMar>
              <w:left w:w="108" w:type="dxa"/>
              <w:top w:w="0" w:type="dxa"/>
              <w:right w:w="108" w:type="dxa"/>
              <w:bottom w:w="0" w:type="dxa"/>
            </w:tcMar>
            <w:tcW w:w="46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Mar>
              <w:left w:w="108" w:type="dxa"/>
              <w:top w:w="0" w:type="dxa"/>
              <w:right w:w="108" w:type="dxa"/>
              <w:bottom w:w="0" w:type="dxa"/>
            </w:tcMar>
            <w:tcW w:w="141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阀</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检查阀是否漏水</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47"/>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清洁阀体外表面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检查阀开关灵活</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检查阀是否腐蚀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导通试验</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检查阀的密封材料是否老化进行操作</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对锈蚀部分除锈、油漆</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保温装置的状况</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65"/>
        </w:trPr>
        <w:tc>
          <w:tcPr>
            <w:gridSpan w:val="2"/>
            <w:tcMar>
              <w:left w:w="108" w:type="dxa"/>
              <w:top w:w="0" w:type="dxa"/>
              <w:right w:w="108" w:type="dxa"/>
              <w:bottom w:w="0" w:type="dxa"/>
            </w:tcMar>
            <w:tcW w:w="46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Mar>
              <w:left w:w="108" w:type="dxa"/>
              <w:top w:w="0" w:type="dxa"/>
              <w:right w:w="108" w:type="dxa"/>
              <w:bottom w:w="0" w:type="dxa"/>
            </w:tcMar>
            <w:tcW w:w="141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消防泵房、泡沫液箱</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检查水压正常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检查是否漏水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检查各阀位置正确</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罐体有无锈蚀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泡沫液液位是否正常</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1451"/>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清除泵体、闸阀、管道的堵塞物</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清洁泵房、泵体及管路</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润滑轴承部位</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检查运行压力正常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检查卸荷装置正常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检查运行时是否有异常噪音</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进行联动测试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检查泡沫液位是否正常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水泵无系统：检查系统组件工作状态，检查设备外表，检查管路压力，检查报警装置，检查系统功能</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对水泵电动机的部件、绝缘进行试验</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对锈蚀泵体、管路、支架除锈、油漆</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检查泡沫液是否在有效期内</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清洗雨淋阀本体的密封圈，检查阀瓣断头和锁紧销，清洗控制阀和密封膜，管网耐压试验</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330"/>
        </w:trPr>
        <w:tc>
          <w:tcPr>
            <w:gridSpan w:val="2"/>
            <w:tcMar>
              <w:left w:w="108" w:type="dxa"/>
              <w:top w:w="0" w:type="dxa"/>
              <w:right w:w="108" w:type="dxa"/>
              <w:bottom w:w="0" w:type="dxa"/>
            </w:tcMar>
            <w:tcW w:w="46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Mar>
              <w:left w:w="108" w:type="dxa"/>
              <w:top w:w="0" w:type="dxa"/>
              <w:right w:w="108" w:type="dxa"/>
              <w:bottom w:w="0" w:type="dxa"/>
            </w:tcMar>
            <w:tcW w:w="141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配水管</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检查管路是否漏水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检查管路支架及固定牢固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检查管路通畅</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1次/周</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检查配水管外观完整，有无漏水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检查闸阀操作灵活、是否漏水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清洁管路、阀门等表面</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对管路、支架进行除锈防腐</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做好寒冷季节前的洞外及隧道内水管的防冻工作、</w:t>
            </w:r>
            <w:r>
              <w:rPr>
                <w:rFonts w:hint="eastAsia" w:ascii="宋体" w:hAnsi="宋体"/>
                <w:sz w:val="24"/>
                <w:szCs w:val="24"/>
              </w:rPr>
              <w:t xml:space="preserve">、防盐雾腐蚀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管道过滤器清洗</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25"/>
        </w:trPr>
        <w:tc>
          <w:tcPr>
            <w:gridSpan w:val="2"/>
            <w:tcMar>
              <w:left w:w="108" w:type="dxa"/>
              <w:top w:w="0" w:type="dxa"/>
              <w:right w:w="108" w:type="dxa"/>
              <w:bottom w:w="0" w:type="dxa"/>
            </w:tcMar>
            <w:tcW w:w="46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p>
        </w:tc>
        <w:tc>
          <w:tcPr>
            <w:tcMar>
              <w:left w:w="108" w:type="dxa"/>
              <w:top w:w="0" w:type="dxa"/>
              <w:right w:w="108" w:type="dxa"/>
              <w:bottom w:w="0" w:type="dxa"/>
            </w:tcMar>
            <w:tcW w:w="141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雨淋阀箱</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检查箱内水压正常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检查水管是否漏水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检查是否渗漏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检查箱门锁及检查箱门是否关闭</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1次/周</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70"/>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清洁箱内、外表面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清洁箱内各器件</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检查阀等器件正常</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泡沫管的使用与防渣检查</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1185"/>
        </w:trPr>
        <w:tc>
          <w:tcPr>
            <w:gridSpan w:val="2"/>
            <w:tcMar>
              <w:left w:w="108" w:type="dxa"/>
              <w:top w:w="0" w:type="dxa"/>
              <w:right w:w="108" w:type="dxa"/>
              <w:bottom w:w="0" w:type="dxa"/>
            </w:tcMar>
            <w:tcW w:w="46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p>
        </w:tc>
        <w:tc>
          <w:tcPr>
            <w:tcMar>
              <w:left w:w="108" w:type="dxa"/>
              <w:top w:w="0" w:type="dxa"/>
              <w:right w:w="108" w:type="dxa"/>
              <w:bottom w:w="0" w:type="dxa"/>
            </w:tcMar>
            <w:tcW w:w="141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水泵</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检查管路是否漏水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检查集水池水位正常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监控中控室水位</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加强雨季的巡视</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41"/>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检查控制箱显示是否正确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清洁泵房、泵体及管路</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润滑轴承部位</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检查运行排水压力正常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进行联动测试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检查水泵运转过程中有无异常响声、振动、过热，</w:t>
            </w:r>
            <w:r>
              <w:rPr>
                <w:rFonts w:hint="eastAsia" w:ascii="宋体" w:hAnsi="宋体"/>
                <w:sz w:val="24"/>
                <w:szCs w:val="24"/>
              </w:rPr>
              <w:t xml:space="preserve">压力上升时闸阀动作是否正常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检查各类闸阀转动是否灵活，是否渗漏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检查各检测仪器仪表读数是否正确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检查水泵电缆、液位信号线有无损坏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检查电机运行温度是否正常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检查水泵转动时电流值是否在额定范围内</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轴承部位加油与排气检查，启动试验与自动阀同时进行，紧固泵体各部件连接螺栓，有无松动，清除离心泵泵内垃圾</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11"/>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清除泵体、闸阀、管道的堵塞物</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检查水泵固定螺栓有无松动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检查泵体、闸阀、管道等腐蚀情况，必要时除锈、油漆</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检查固定架有无松动、锈蚀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检查泵体吊环有无损伤</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检查叶轮磨损是否严重必要时更换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检查油密密封是否可靠，添加润滑油</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检查电机转动时有无颤动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检查水泵绕组对地绝缘是否满足技术要求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电动机绝缘测试，三相电流平衡试验</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液位控制装置校验</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电动葫芦年检并按要求整改</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泵体解体：</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轴承清洗或更换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润滑脂检查、更换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电机定转子及线包检查、更换、保养</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机械密封检查、维护、更换、保养</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40"/>
        </w:trPr>
        <w:tc>
          <w:tcPr>
            <w:gridSpan w:val="2"/>
            <w:tcMar>
              <w:left w:w="108" w:type="dxa"/>
              <w:top w:w="0" w:type="dxa"/>
              <w:right w:w="108" w:type="dxa"/>
              <w:bottom w:w="0" w:type="dxa"/>
            </w:tcMar>
            <w:tcW w:w="46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w:t>
            </w:r>
            <w:r/>
          </w:p>
        </w:tc>
        <w:tc>
          <w:tcPr>
            <w:tcMar>
              <w:left w:w="108" w:type="dxa"/>
              <w:top w:w="0" w:type="dxa"/>
              <w:right w:w="108" w:type="dxa"/>
              <w:bottom w:w="0" w:type="dxa"/>
            </w:tcMar>
            <w:tcW w:w="141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灭火器箱</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检查灭火器数量齐全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检查灭火器箱门完好并关闭</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1次/日（其余部位）</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1次/月（隧道内）</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清洁灭火器、箱内外表面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检查灭火器完好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检查灭火器压力是否失效</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检查联动是否正常</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确认灭火器的数量及其有效期，压力是否正常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检查灭火器腐蚀情况</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设备箱体及标识检查</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gridSpan w:val="2"/>
            <w:tcW w:w="464"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9</w:t>
            </w:r>
            <w:r/>
          </w:p>
        </w:tc>
        <w:tc>
          <w:tcPr>
            <w:tcW w:w="1416"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水泵接合器</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清洗表面、内部，检查密封性</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送水加压功能是否正常</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65"/>
        </w:trPr>
        <w:tc>
          <w:tcPr>
            <w:gridSpan w:val="2"/>
            <w:tcW w:w="464"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10</w:t>
            </w:r>
            <w:r/>
          </w:p>
        </w:tc>
        <w:tc>
          <w:tcPr>
            <w:tcW w:w="1416"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电动机</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运转时有无异响、震动、过热，外观有无污染与损伤，电流、电压检测，三相电流是否平衡，启动试验</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各连接部情况，绝缘试验</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gridAfter w:val="1"/>
          <w:trHeight w:val="20"/>
        </w:trPr>
        <w:tc>
          <w:tcPr>
            <w:tcMar>
              <w:left w:w="108" w:type="dxa"/>
              <w:top w:w="0" w:type="dxa"/>
              <w:right w:w="108" w:type="dxa"/>
              <w:bottom w:w="0" w:type="dxa"/>
            </w:tcMar>
            <w:tcW w:w="4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w:t>
            </w:r>
            <w:r/>
          </w:p>
        </w:tc>
        <w:tc>
          <w:tcPr>
            <w:gridSpan w:val="2"/>
            <w:tcMar>
              <w:left w:w="108" w:type="dxa"/>
              <w:top w:w="0" w:type="dxa"/>
              <w:right w:w="108" w:type="dxa"/>
              <w:bottom w:w="0" w:type="dxa"/>
            </w:tcMar>
            <w:tcW w:w="142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液位检测器</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电极棒液位控制装置检查，浮球磁性液位控制器检查，超声波液位计检查，仪器检测精度标定、液位控制装置校验</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gridAfter w:val="1"/>
          <w:trHeight w:val="20"/>
        </w:trPr>
        <w:tc>
          <w:tcPr>
            <w:tcMar>
              <w:left w:w="108" w:type="dxa"/>
              <w:top w:w="0" w:type="dxa"/>
              <w:right w:w="108" w:type="dxa"/>
              <w:bottom w:w="0" w:type="dxa"/>
            </w:tcMar>
            <w:tcW w:w="45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w:t>
            </w:r>
            <w:r/>
          </w:p>
        </w:tc>
        <w:tc>
          <w:tcPr>
            <w:gridSpan w:val="2"/>
            <w:tcMar>
              <w:left w:w="108" w:type="dxa"/>
              <w:top w:w="0" w:type="dxa"/>
              <w:right w:w="108" w:type="dxa"/>
              <w:bottom w:w="0" w:type="dxa"/>
            </w:tcMar>
            <w:tcW w:w="142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火灾报警主机</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外观检查：无污染、损伤、松动、过热</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系统联动检查：消防联动测试，检测联动各动作是否到位准确</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2次/年</w:t>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检查是否存在隔离、故障或报警信息，查明故障原因并修复</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Mar>
              <w:left w:w="108" w:type="dxa"/>
              <w:top w:w="0" w:type="dxa"/>
              <w:right w:w="108" w:type="dxa"/>
              <w:bottom w:w="0" w:type="dxa"/>
            </w:tcMar>
            <w:tcW w:w="4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w:t>
            </w:r>
            <w:r/>
          </w:p>
        </w:tc>
        <w:tc>
          <w:tcPr>
            <w:gridSpan w:val="2"/>
            <w:tcMar>
              <w:left w:w="108" w:type="dxa"/>
              <w:top w:w="0" w:type="dxa"/>
              <w:right w:w="108" w:type="dxa"/>
              <w:bottom w:w="0" w:type="dxa"/>
            </w:tcMar>
            <w:tcW w:w="142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感温光纤主机</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外观检查：无污染、损伤、松动</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Mar>
              <w:left w:w="108" w:type="dxa"/>
              <w:top w:w="0" w:type="dxa"/>
              <w:right w:w="108" w:type="dxa"/>
              <w:bottom w:w="0" w:type="dxa"/>
            </w:tcMar>
            <w:tcW w:w="45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w:t>
            </w:r>
            <w:r/>
          </w:p>
        </w:tc>
        <w:tc>
          <w:tcPr>
            <w:gridSpan w:val="2"/>
            <w:tcMar>
              <w:left w:w="108" w:type="dxa"/>
              <w:top w:w="0" w:type="dxa"/>
              <w:right w:w="108" w:type="dxa"/>
              <w:bottom w:w="0" w:type="dxa"/>
            </w:tcMar>
            <w:tcW w:w="142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声光报警器</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外观检查：无污染、损伤、松动</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功能性检查：报警功能</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gridAfter w:val="1"/>
          <w:trHeight w:val="20"/>
        </w:trPr>
        <w:tc>
          <w:tcPr>
            <w:tcMar>
              <w:left w:w="108" w:type="dxa"/>
              <w:top w:w="0" w:type="dxa"/>
              <w:right w:w="108" w:type="dxa"/>
              <w:bottom w:w="0" w:type="dxa"/>
            </w:tcMar>
            <w:tcW w:w="45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w:t>
            </w:r>
            <w:r/>
          </w:p>
        </w:tc>
        <w:tc>
          <w:tcPr>
            <w:gridSpan w:val="2"/>
            <w:tcMar>
              <w:left w:w="108" w:type="dxa"/>
              <w:top w:w="0" w:type="dxa"/>
              <w:right w:w="108" w:type="dxa"/>
              <w:bottom w:w="0" w:type="dxa"/>
            </w:tcMar>
            <w:tcW w:w="142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火灾报警工作站</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设备运行检查：正常</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软件维护即开机检查：可正常开机，各项功能正常</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检查设备运转有无过热现象</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外壳漏电检查：无漏电现象</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磁盘扫描和碎片整理</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电源电压：输入、输出电压正常，响应时间符合设计要求</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2次/年</w:t>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与主机通信正常</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Mar>
              <w:left w:w="108" w:type="dxa"/>
              <w:top w:w="0" w:type="dxa"/>
              <w:right w:w="108" w:type="dxa"/>
              <w:bottom w:w="0" w:type="dxa"/>
            </w:tcMar>
            <w:tcW w:w="45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w:t>
            </w:r>
            <w:r/>
          </w:p>
        </w:tc>
        <w:tc>
          <w:tcPr>
            <w:gridSpan w:val="2"/>
            <w:tcMar>
              <w:left w:w="108" w:type="dxa"/>
              <w:top w:w="0" w:type="dxa"/>
              <w:right w:w="108" w:type="dxa"/>
              <w:bottom w:w="0" w:type="dxa"/>
            </w:tcMar>
            <w:tcW w:w="142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感温探测器、感烟探测器、双波长火焰探测器</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外观检查：无污染、损伤、松动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清洁表面</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Mar>
              <w:left w:w="108" w:type="dxa"/>
              <w:top w:w="0" w:type="dxa"/>
              <w:right w:w="108" w:type="dxa"/>
              <w:bottom w:w="0" w:type="dxa"/>
            </w:tcMar>
            <w:tcW w:w="456" w:type="dxa"/>
            <w:vAlign w:val="center"/>
            <w:vMerge w:val="continue"/>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424" w:type="dxa"/>
            <w:vAlign w:val="center"/>
            <w:vMerge w:val="continue"/>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各回路的报警随机抽检、试验</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r>
      <w:tr>
        <w:trPr>
          <w:gridAfter w:val="1"/>
          <w:trHeight w:val="20"/>
        </w:trPr>
        <w:tc>
          <w:tcPr>
            <w:tcMar>
              <w:left w:w="108" w:type="dxa"/>
              <w:top w:w="0" w:type="dxa"/>
              <w:right w:w="108" w:type="dxa"/>
              <w:bottom w:w="0" w:type="dxa"/>
            </w:tcMar>
            <w:tcW w:w="45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17</w:t>
            </w:r>
            <w:r/>
          </w:p>
        </w:tc>
        <w:tc>
          <w:tcPr>
            <w:gridSpan w:val="2"/>
            <w:tcMar>
              <w:left w:w="108" w:type="dxa"/>
              <w:top w:w="0" w:type="dxa"/>
              <w:right w:w="108" w:type="dxa"/>
              <w:bottom w:w="0" w:type="dxa"/>
            </w:tcMar>
            <w:tcW w:w="142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手动报警按钮</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外观检查：无污染、损伤、松动，清洁表面，检查</w:t>
            </w:r>
            <w:r>
              <w:rPr>
                <w:rFonts w:hint="eastAsia" w:ascii="宋体" w:hAnsi="宋体" w:cs="宋体"/>
                <w:sz w:val="24"/>
                <w:szCs w:val="24"/>
                <w:lang w:val="en-US" w:eastAsia="zh-CN"/>
              </w:rPr>
              <w:t xml:space="preserve">防水</w:t>
            </w:r>
            <w:r>
              <w:rPr>
                <w:rFonts w:hint="eastAsia" w:ascii="宋体" w:hAnsi="宋体" w:cs="宋体"/>
                <w:sz w:val="24"/>
                <w:szCs w:val="24"/>
              </w:rPr>
              <w:t xml:space="preserve">性能</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Mar>
              <w:left w:w="108" w:type="dxa"/>
              <w:top w:w="0" w:type="dxa"/>
              <w:right w:w="108" w:type="dxa"/>
              <w:bottom w:w="0" w:type="dxa"/>
            </w:tcMar>
            <w:tcW w:w="456" w:type="dxa"/>
            <w:vAlign w:val="center"/>
            <w:vMerge w:val="continue"/>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424" w:type="dxa"/>
            <w:vAlign w:val="center"/>
            <w:vMerge w:val="continue"/>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报警信号及传输测试，各回路的报警随机抽检试验</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gridAfter w:val="1"/>
          <w:trHeight w:val="20"/>
        </w:trPr>
        <w:tc>
          <w:tcPr>
            <w:tcMar>
              <w:left w:w="108" w:type="dxa"/>
              <w:top w:w="0" w:type="dxa"/>
              <w:right w:w="108" w:type="dxa"/>
              <w:bottom w:w="0" w:type="dxa"/>
            </w:tcMar>
            <w:tcW w:w="45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18</w:t>
            </w:r>
            <w:r/>
          </w:p>
        </w:tc>
        <w:tc>
          <w:tcPr>
            <w:gridSpan w:val="2"/>
            <w:tcMar>
              <w:left w:w="108" w:type="dxa"/>
              <w:top w:w="0" w:type="dxa"/>
              <w:right w:w="108" w:type="dxa"/>
              <w:bottom w:w="0" w:type="dxa"/>
            </w:tcMar>
            <w:tcW w:w="142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COVI探测仪</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外观检查：无污染、损伤、松动</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外观巡检：无损伤</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外表面除尘保养</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Mar>
              <w:left w:w="108" w:type="dxa"/>
              <w:top w:w="0" w:type="dxa"/>
              <w:right w:w="108" w:type="dxa"/>
              <w:bottom w:w="0" w:type="dxa"/>
            </w:tcMar>
            <w:tcW w:w="45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19</w:t>
            </w:r>
            <w:r/>
          </w:p>
        </w:tc>
        <w:tc>
          <w:tcPr>
            <w:gridSpan w:val="2"/>
            <w:tcMar>
              <w:left w:w="108" w:type="dxa"/>
              <w:top w:w="0" w:type="dxa"/>
              <w:right w:w="108" w:type="dxa"/>
              <w:bottom w:w="0" w:type="dxa"/>
            </w:tcMar>
            <w:tcW w:w="142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感温</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光纤</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及时清理悬挂物，清洁表面</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各回路的报警随机抽检试验</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外观巡检：无垂荡、损伤</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textDirection w:val="lrTb"/>
            <w:noWrap w:val="false"/>
          </w:tcPr>
          <w:p>
            <w:pPr>
              <w:rPr>
                <w:rFonts w:ascii="宋体" w:hAnsi="宋体" w:cs="宋体"/>
                <w:sz w:val="24"/>
                <w:szCs w:val="24"/>
              </w:rPr>
            </w:pPr>
            <w:r>
              <w:rPr>
                <w:rFonts w:hint="eastAsia" w:ascii="宋体" w:hAnsi="宋体" w:cs="宋体"/>
                <w:sz w:val="24"/>
                <w:szCs w:val="24"/>
              </w:rPr>
              <w:t xml:space="preserve">20</w:t>
            </w:r>
            <w:r/>
          </w:p>
        </w:tc>
        <w:tc>
          <w:tcPr>
            <w:gridSpan w:val="2"/>
            <w:tcW w:w="1424" w:type="dxa"/>
            <w:textDirection w:val="lrTb"/>
            <w:noWrap w:val="false"/>
          </w:tcPr>
          <w:p>
            <w:pPr>
              <w:rPr>
                <w:rFonts w:ascii="宋体" w:hAnsi="宋体" w:cs="宋体"/>
                <w:sz w:val="24"/>
                <w:szCs w:val="24"/>
              </w:rPr>
            </w:pPr>
            <w:r>
              <w:rPr>
                <w:rFonts w:hint="eastAsia" w:ascii="宋体" w:hAnsi="宋体"/>
                <w:sz w:val="24"/>
                <w:szCs w:val="24"/>
              </w:rPr>
              <w:t xml:space="preserve">气体灭火设施</w:t>
            </w:r>
            <w:r/>
          </w:p>
        </w:tc>
        <w:tc>
          <w:tcPr>
            <w:tcMar>
              <w:left w:w="108" w:type="dxa"/>
              <w:top w:w="0" w:type="dxa"/>
              <w:right w:w="108" w:type="dxa"/>
              <w:bottom w:w="0" w:type="dxa"/>
            </w:tcMar>
            <w:tcW w:w="2996" w:type="dxa"/>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与火灾报警控制器联动试验，检查气溶胶</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gridAfter w:val="1"/>
          <w:trHeight w:val="20"/>
        </w:trPr>
        <w:tc>
          <w:tcPr>
            <w:tcW w:w="456" w:type="dxa"/>
            <w:textDirection w:val="lrTb"/>
            <w:noWrap w:val="false"/>
          </w:tcPr>
          <w:p>
            <w:pPr>
              <w:rPr>
                <w:rFonts w:ascii="宋体" w:hAnsi="宋体" w:cs="宋体"/>
                <w:sz w:val="24"/>
                <w:szCs w:val="24"/>
              </w:rPr>
            </w:pPr>
            <w:r>
              <w:rPr>
                <w:rFonts w:hint="eastAsia" w:ascii="宋体" w:hAnsi="宋体" w:cs="宋体"/>
                <w:sz w:val="24"/>
                <w:szCs w:val="24"/>
              </w:rPr>
              <w:t xml:space="preserve">21</w:t>
            </w:r>
            <w:r/>
          </w:p>
        </w:tc>
        <w:tc>
          <w:tcPr>
            <w:gridSpan w:val="2"/>
            <w:tcW w:w="1424" w:type="dxa"/>
            <w:textDirection w:val="lrTb"/>
            <w:noWrap w:val="false"/>
          </w:tcPr>
          <w:p>
            <w:pPr>
              <w:rPr>
                <w:rFonts w:ascii="宋体" w:hAnsi="宋体" w:cs="宋体"/>
                <w:sz w:val="24"/>
                <w:szCs w:val="24"/>
              </w:rPr>
            </w:pPr>
            <w:r>
              <w:rPr>
                <w:rFonts w:hint="eastAsia" w:ascii="宋体" w:hAnsi="宋体"/>
                <w:sz w:val="24"/>
                <w:szCs w:val="24"/>
              </w:rPr>
              <w:t xml:space="preserve">消防水池</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有无渗漏水，水位是否正常及液位检测器是否完好，泄水孔是否畅通</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textDirection w:val="lrTb"/>
            <w:noWrap w:val="false"/>
          </w:tcPr>
          <w:p>
            <w:pPr>
              <w:rPr>
                <w:rFonts w:ascii="宋体" w:hAnsi="宋体" w:cs="宋体"/>
                <w:sz w:val="24"/>
                <w:szCs w:val="24"/>
              </w:rPr>
            </w:pPr>
            <w:r>
              <w:rPr>
                <w:rFonts w:hint="eastAsia" w:ascii="宋体" w:hAnsi="宋体" w:cs="宋体"/>
                <w:sz w:val="24"/>
                <w:szCs w:val="24"/>
              </w:rPr>
              <w:t xml:space="preserve">22</w:t>
            </w:r>
            <w:r/>
          </w:p>
        </w:tc>
        <w:tc>
          <w:tcPr>
            <w:gridSpan w:val="2"/>
            <w:tcW w:w="1424" w:type="dxa"/>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水池的清理，寒冷季节保温防冻检查</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gridAfter w:val="1"/>
          <w:trHeight w:val="20"/>
        </w:trPr>
        <w:tc>
          <w:tcPr>
            <w:tcW w:w="456" w:type="dxa"/>
            <w:textDirection w:val="lrTb"/>
            <w:noWrap w:val="false"/>
          </w:tcPr>
          <w:p>
            <w:pPr>
              <w:rPr>
                <w:rFonts w:ascii="宋体" w:hAnsi="宋体" w:cs="宋体"/>
                <w:sz w:val="24"/>
                <w:szCs w:val="24"/>
              </w:rPr>
            </w:pPr>
            <w:r>
              <w:rPr>
                <w:rFonts w:hint="eastAsia" w:ascii="宋体" w:hAnsi="宋体" w:cs="宋体"/>
                <w:sz w:val="24"/>
                <w:szCs w:val="24"/>
              </w:rPr>
              <w:t xml:space="preserve">23</w:t>
            </w:r>
            <w:r/>
          </w:p>
        </w:tc>
        <w:tc>
          <w:tcPr>
            <w:gridSpan w:val="2"/>
            <w:tcW w:w="1424" w:type="dxa"/>
            <w:textDirection w:val="lrTb"/>
            <w:noWrap w:val="false"/>
          </w:tcPr>
          <w:p>
            <w:pPr>
              <w:rPr>
                <w:rFonts w:ascii="宋体" w:hAnsi="宋体" w:cs="宋体"/>
                <w:sz w:val="24"/>
                <w:szCs w:val="24"/>
              </w:rPr>
            </w:pPr>
            <w:r>
              <w:rPr>
                <w:rFonts w:hint="eastAsia" w:ascii="宋体" w:hAnsi="宋体"/>
                <w:sz w:val="24"/>
                <w:szCs w:val="24"/>
              </w:rPr>
              <w:t xml:space="preserve">电光标志</w:t>
            </w:r>
            <w:r/>
          </w:p>
        </w:tc>
        <w:tc>
          <w:tcPr>
            <w:tcMar>
              <w:left w:w="108" w:type="dxa"/>
              <w:top w:w="0" w:type="dxa"/>
              <w:right w:w="108" w:type="dxa"/>
              <w:bottom w:w="0" w:type="dxa"/>
            </w:tcMar>
            <w:tcW w:w="2996" w:type="dxa"/>
            <w:vAlign w:val="center"/>
            <w:textDirection w:val="lrTb"/>
            <w:noWrap w:val="false"/>
          </w:tcPr>
          <w:p>
            <w:pPr>
              <w:spacing w:line="85"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检查、调节LED集束像管的发光亮度，检查显示功能是否正常，外观有无污染、破损、锈蚀，字迹是否</w:t>
            </w:r>
            <w:r>
              <w:rPr>
                <w:rFonts w:hint="eastAsia" w:ascii="宋体" w:hAnsi="宋体"/>
                <w:sz w:val="24"/>
                <w:szCs w:val="24"/>
                <w:lang w:val="en-US" w:eastAsia="zh-CN"/>
              </w:rPr>
              <w:t xml:space="preserve">清晰</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textDirection w:val="lrTb"/>
            <w:noWrap w:val="false"/>
          </w:tcPr>
          <w:p>
            <w:pPr>
              <w:rPr>
                <w:rFonts w:ascii="宋体" w:hAnsi="宋体" w:cs="宋体"/>
                <w:sz w:val="24"/>
                <w:szCs w:val="24"/>
              </w:rPr>
            </w:pPr>
            <w:r>
              <w:rPr>
                <w:rFonts w:hint="eastAsia" w:ascii="宋体" w:hAnsi="宋体" w:cs="宋体"/>
                <w:sz w:val="24"/>
                <w:szCs w:val="24"/>
              </w:rPr>
              <w:t xml:space="preserve">24</w:t>
            </w:r>
            <w:r/>
          </w:p>
        </w:tc>
        <w:tc>
          <w:tcPr>
            <w:gridSpan w:val="2"/>
            <w:tcW w:w="1424" w:type="dxa"/>
            <w:textDirection w:val="lrTb"/>
            <w:noWrap w:val="false"/>
          </w:tcPr>
          <w:p>
            <w:pPr>
              <w:rPr>
                <w:rFonts w:ascii="宋体" w:hAnsi="宋体" w:cs="宋体"/>
                <w:sz w:val="24"/>
                <w:szCs w:val="24"/>
              </w:rPr>
            </w:pPr>
            <w:r>
              <w:rPr>
                <w:rFonts w:hint="eastAsia" w:ascii="宋体" w:hAnsi="宋体"/>
                <w:sz w:val="24"/>
                <w:szCs w:val="24"/>
              </w:rPr>
              <w:t xml:space="preserve">横通道门</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是否损坏，开关是否自如</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25</w:t>
            </w:r>
            <w:r/>
          </w:p>
        </w:tc>
        <w:tc>
          <w:tcPr>
            <w:gridSpan w:val="2"/>
            <w:tcW w:w="1424" w:type="dxa"/>
            <w:vMerge w:val="restart"/>
            <w:textDirection w:val="lrTb"/>
            <w:noWrap w:val="false"/>
          </w:tcPr>
          <w:p>
            <w:pPr>
              <w:rPr>
                <w:rFonts w:ascii="宋体" w:hAnsi="宋体" w:cs="宋体"/>
                <w:sz w:val="24"/>
                <w:szCs w:val="24"/>
              </w:rPr>
            </w:pPr>
            <w:r>
              <w:rPr>
                <w:rFonts w:hint="eastAsia" w:ascii="宋体" w:hAnsi="宋体"/>
                <w:sz w:val="24"/>
                <w:szCs w:val="24"/>
              </w:rPr>
              <w:t xml:space="preserve">横通道控制箱</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可编控制程序是否正确</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自动及手动操作是否正确</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1次/周</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26</w:t>
            </w:r>
            <w:r/>
          </w:p>
        </w:tc>
        <w:tc>
          <w:tcPr>
            <w:gridSpan w:val="2"/>
            <w:tcW w:w="1424" w:type="dxa"/>
            <w:vMerge w:val="restart"/>
            <w:textDirection w:val="lrTb"/>
            <w:noWrap w:val="false"/>
          </w:tcPr>
          <w:p>
            <w:pPr>
              <w:rPr>
                <w:rFonts w:ascii="宋体" w:hAnsi="宋体" w:cs="宋体"/>
                <w:sz w:val="24"/>
                <w:szCs w:val="24"/>
              </w:rPr>
            </w:pPr>
            <w:r>
              <w:rPr>
                <w:rFonts w:hint="eastAsia" w:ascii="宋体" w:hAnsi="宋体"/>
                <w:sz w:val="24"/>
                <w:szCs w:val="24"/>
              </w:rPr>
              <w:t xml:space="preserve">监控室</w:t>
            </w:r>
            <w:r/>
          </w:p>
        </w:tc>
        <w:tc>
          <w:tcPr>
            <w:tcMar>
              <w:left w:w="108" w:type="dxa"/>
              <w:top w:w="0" w:type="dxa"/>
              <w:right w:w="108" w:type="dxa"/>
              <w:bottom w:w="0" w:type="dxa"/>
            </w:tcMar>
            <w:tcW w:w="2996" w:type="dxa"/>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1、温湿度检查</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1次/周</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2、地板抗静电检查</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bl>
    <w:p>
      <w:pPr>
        <w:pStyle w:val="709"/>
        <w:ind w:firstLine="482"/>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2.2.5电梯</w:t>
      </w:r>
      <w:r/>
    </w:p>
    <w:p>
      <w:pPr>
        <w:pStyle w:val="709"/>
        <w:ind w:firstLine="482"/>
        <w:spacing w:line="553" w:lineRule="atLeast"/>
        <w:rPr>
          <w:rFonts w:ascii="宋体" w:hAnsi="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2.2.5.1主要运维范围及要求</w:t>
      </w:r>
      <w:r/>
    </w:p>
    <w:p>
      <w:pPr>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主要为相别路地下人行通道两侧入口处的人行自动扶梯。</w:t>
      </w:r>
      <w:r/>
    </w:p>
    <w:p>
      <w:pPr>
        <w:ind w:firstLine="480"/>
        <w:spacing w:line="40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green"/>
          <w:lang w:eastAsia="zh-CN"/>
        </w:rPr>
        <w:t xml:space="preserve">须委托具备电梯运维资质的单位进行运维，采购人对相关资质进行核查。</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2.2.5.2日常巡查</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梯设施应进行日常检查，主要是通过观察设备运转有无异常，确定设备是否存在隐患，并及时排除故障。每日电梯运行时间根据采购人要求，启停操作由中标人负责。每日电梯关闭后对电梯进行全面检查，确保运行正常。</w:t>
      </w:r>
      <w:r/>
    </w:p>
    <w:p>
      <w:r/>
      <w:r/>
    </w:p>
    <w:p>
      <w:pPr>
        <w:ind w:firstLine="482"/>
        <w:rPr>
          <w:rFonts w:ascii="宋体" w:hAnsi="宋体" w:cs="宋体"/>
          <w:b/>
          <w:bCs/>
          <w:sz w:val="24"/>
          <w:szCs w:val="24"/>
        </w:rPr>
      </w:pPr>
      <w:r>
        <w:rPr>
          <w:rFonts w:hint="eastAsia" w:ascii="宋体" w:hAnsi="宋体" w:cs="宋体"/>
          <w:b/>
          <w:bCs/>
          <w:sz w:val="24"/>
          <w:szCs w:val="24"/>
        </w:rPr>
        <w:t xml:space="preserve">2.2.5.3系统检查及维修</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（1）每季度对电梯的电机进行检修保养。</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（2）每年对所有电梯锈蚀状况进行除锈、防腐、油漆处理。</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（3）电梯发生突然停电等不正常现象时，应立即采取措施，确保不发生安全事故。</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（4）按国家及地方有关规范和相关要求对电梯由有资质单位定期出具检测报告。</w:t>
      </w:r>
      <w:r/>
    </w:p>
    <w:p>
      <w:pPr>
        <w:ind w:firstLine="1502"/>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电梯经常性检修、定期检修、分解性检修主要项目</w:t>
      </w:r>
      <w:r/>
    </w:p>
    <w:tbl>
      <w:tblPr>
        <w:tblStyle w:val="717"/>
        <w:tblW w:w="8946" w:type="dxa"/>
        <w:jc w:val="center"/>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714"/>
        <w:gridCol w:w="1333"/>
        <w:gridCol w:w="4056"/>
        <w:gridCol w:w="1048"/>
        <w:gridCol w:w="748"/>
        <w:gridCol w:w="1047"/>
      </w:tblGrid>
      <w:tr>
        <w:trPr>
          <w:jc w:val="center"/>
          <w:trHeight w:val="300"/>
          <w:tblHeader/>
        </w:trPr>
        <w:tc>
          <w:tcPr>
            <w:tcBorders>
              <w:top w:val="single" w:color="auto" w:sz="8" w:space="0"/>
              <w:left w:val="single" w:color="auto" w:sz="8" w:space="0"/>
              <w:bottom w:val="single" w:color="auto" w:sz="8" w:space="0"/>
              <w:right w:val="single" w:color="auto" w:sz="8" w:space="0"/>
            </w:tcBorders>
            <w:tcW w:w="71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设备名称</w:t>
            </w:r>
            <w:r/>
          </w:p>
        </w:tc>
        <w:tc>
          <w:tcPr>
            <w:tcBorders>
              <w:top w:val="single" w:color="auto" w:sz="8" w:space="0"/>
              <w:left w:val="single" w:color="auto" w:sz="8" w:space="0"/>
              <w:bottom w:val="single" w:color="auto" w:sz="8" w:space="0"/>
              <w:right w:val="single" w:color="auto" w:sz="8" w:space="0"/>
            </w:tcBorders>
            <w:tcW w:w="1333"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保养</w:t>
            </w:r>
            <w:r>
              <w:rPr>
                <w:rFonts w:ascii="宋体" w:hAnsi="宋体" w:cs="宋体"/>
                <w:sz w:val="24"/>
                <w:szCs w:val="24"/>
              </w:rPr>
              <w:t xml:space="preserve">项目</w:t>
            </w:r>
            <w:r/>
          </w:p>
        </w:tc>
        <w:tc>
          <w:tcPr>
            <w:tcBorders>
              <w:top w:val="single" w:color="auto" w:sz="8" w:space="0"/>
              <w:left w:val="single" w:color="auto" w:sz="8" w:space="0"/>
              <w:bottom w:val="single" w:color="auto" w:sz="8" w:space="0"/>
              <w:right w:val="single" w:color="auto" w:sz="8" w:space="0"/>
            </w:tcBorders>
            <w:tcW w:w="4056" w:type="dxa"/>
            <w:vAlign w:val="center"/>
            <w:vMerge w:val="restart"/>
            <w:textDirection w:val="lrTb"/>
            <w:noWrap w:val="false"/>
          </w:tcPr>
          <w:p>
            <w:pPr>
              <w:rPr>
                <w:rFonts w:ascii="宋体" w:hAnsi="宋体" w:cs="宋体"/>
                <w:sz w:val="24"/>
                <w:szCs w:val="24"/>
              </w:rPr>
            </w:pPr>
            <w:r>
              <w:rPr>
                <w:rFonts w:ascii="宋体" w:hAnsi="宋体" w:cs="宋体"/>
                <w:sz w:val="24"/>
                <w:szCs w:val="24"/>
              </w:rPr>
              <w:t xml:space="preserve">主要检查内容</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t xml:space="preserve">经常性检修</w:t>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t xml:space="preserve">定期检修</w:t>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t xml:space="preserve">分解性检修</w:t>
            </w:r>
            <w:r/>
          </w:p>
        </w:tc>
      </w:tr>
      <w:tr>
        <w:trPr>
          <w:jc w:val="center"/>
          <w:trHeight w:val="315"/>
          <w:tblHeader/>
        </w:trPr>
        <w:tc>
          <w:tcPr>
            <w:tcBorders>
              <w:top w:val="single" w:color="auto" w:sz="8" w:space="0"/>
              <w:left w:val="single" w:color="auto" w:sz="8" w:space="0"/>
              <w:bottom w:val="single" w:color="auto" w:sz="8" w:space="0"/>
              <w:right w:val="single" w:color="auto" w:sz="8" w:space="0"/>
            </w:tcBorders>
            <w:tcW w:w="71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33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40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t xml:space="preserve">1次/1～3月</w:t>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t xml:space="preserve">1次/年</w:t>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t xml:space="preserve">1次/1～3年</w:t>
            </w:r>
            <w:r/>
          </w:p>
        </w:tc>
      </w:tr>
      <w:tr>
        <w:trPr>
          <w:jc w:val="center"/>
        </w:trPr>
        <w:tc>
          <w:tcPr>
            <w:tcBorders>
              <w:top w:val="single" w:color="auto" w:sz="8" w:space="0"/>
              <w:left w:val="single" w:color="auto" w:sz="8" w:space="0"/>
              <w:bottom w:val="single" w:color="auto" w:sz="8" w:space="0"/>
              <w:right w:val="single" w:color="auto" w:sz="8" w:space="0"/>
            </w:tcBorders>
            <w:tcW w:w="71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电梯</w:t>
            </w:r>
            <w:r/>
          </w:p>
        </w:tc>
        <w:tc>
          <w:tcPr>
            <w:tcBorders>
              <w:top w:val="single" w:color="auto" w:sz="8" w:space="0"/>
              <w:left w:val="single" w:color="auto" w:sz="8" w:space="0"/>
              <w:bottom w:val="single" w:color="auto" w:sz="8" w:space="0"/>
              <w:right w:val="single" w:color="auto" w:sz="8" w:space="0"/>
            </w:tcBorders>
            <w:tcW w:w="1333" w:type="dxa"/>
            <w:vAlign w:val="center"/>
            <w:vMerge w:val="restart"/>
            <w:textDirection w:val="lrTb"/>
            <w:noWrap w:val="false"/>
          </w:tcPr>
          <w:p>
            <w:pPr>
              <w:rPr>
                <w:rFonts w:ascii="宋体" w:hAnsi="宋体" w:cs="宋体"/>
                <w:sz w:val="24"/>
                <w:szCs w:val="24"/>
              </w:rPr>
            </w:pPr>
            <w:r>
              <w:rPr>
                <w:rFonts w:ascii="宋体" w:hAnsi="宋体" w:cs="宋体"/>
                <w:sz w:val="24"/>
                <w:szCs w:val="24"/>
              </w:rPr>
              <w:t xml:space="preserve">总体</w:t>
            </w:r>
            <w:r/>
          </w:p>
        </w:tc>
        <w:tc>
          <w:tcPr>
            <w:tcBorders>
              <w:top w:val="single" w:color="auto" w:sz="8" w:space="0"/>
              <w:left w:val="single" w:color="auto" w:sz="8" w:space="0"/>
              <w:bottom w:val="single" w:color="auto" w:sz="8" w:space="0"/>
              <w:right w:val="single" w:color="auto" w:sz="8" w:space="0"/>
            </w:tcBorders>
            <w:tcW w:w="4056" w:type="dxa"/>
            <w:vAlign w:val="center"/>
            <w:textDirection w:val="lrTb"/>
            <w:noWrap w:val="false"/>
          </w:tcPr>
          <w:p>
            <w:pPr>
              <w:rPr>
                <w:rFonts w:ascii="宋体" w:hAnsi="宋体" w:cs="宋体"/>
                <w:sz w:val="24"/>
                <w:szCs w:val="24"/>
              </w:rPr>
            </w:pPr>
            <w:r>
              <w:rPr>
                <w:rFonts w:ascii="宋体" w:hAnsi="宋体" w:cs="宋体"/>
                <w:sz w:val="24"/>
                <w:szCs w:val="24"/>
              </w:rPr>
              <w:t xml:space="preserve">1.运转过程有无异常情况</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t xml:space="preserve">√</w:t>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Pr>
        <w:tc>
          <w:tcPr>
            <w:tcBorders>
              <w:top w:val="single" w:color="auto" w:sz="8" w:space="0"/>
              <w:left w:val="single" w:color="auto" w:sz="8" w:space="0"/>
              <w:bottom w:val="single" w:color="auto" w:sz="8" w:space="0"/>
              <w:right w:val="single" w:color="auto" w:sz="8" w:space="0"/>
            </w:tcBorders>
            <w:tcW w:w="71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33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4056" w:type="dxa"/>
            <w:vAlign w:val="center"/>
            <w:textDirection w:val="lrTb"/>
            <w:noWrap w:val="false"/>
          </w:tcPr>
          <w:p>
            <w:pPr>
              <w:rPr>
                <w:rFonts w:ascii="宋体" w:hAnsi="宋体" w:cs="宋体"/>
                <w:sz w:val="24"/>
                <w:szCs w:val="24"/>
              </w:rPr>
            </w:pPr>
            <w:r>
              <w:rPr>
                <w:rFonts w:ascii="宋体" w:hAnsi="宋体" w:cs="宋体"/>
                <w:sz w:val="24"/>
                <w:szCs w:val="24"/>
              </w:rPr>
              <w:t xml:space="preserve">2.运转时电流值是否在额定值内</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t xml:space="preserve">√</w:t>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Pr>
        <w:tc>
          <w:tcPr>
            <w:tcBorders>
              <w:top w:val="single" w:color="auto" w:sz="8" w:space="0"/>
              <w:left w:val="single" w:color="auto" w:sz="8" w:space="0"/>
              <w:bottom w:val="single" w:color="auto" w:sz="8" w:space="0"/>
              <w:right w:val="single" w:color="auto" w:sz="8" w:space="0"/>
            </w:tcBorders>
            <w:tcW w:w="71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333" w:type="dxa"/>
            <w:vAlign w:val="center"/>
            <w:textDirection w:val="lrTb"/>
            <w:noWrap w:val="false"/>
          </w:tcPr>
          <w:p>
            <w:pPr>
              <w:rPr>
                <w:rFonts w:ascii="宋体" w:hAnsi="宋体" w:cs="宋体"/>
                <w:sz w:val="24"/>
                <w:szCs w:val="24"/>
              </w:rPr>
            </w:pPr>
            <w:r>
              <w:rPr>
                <w:rFonts w:ascii="宋体" w:hAnsi="宋体" w:cs="宋体"/>
                <w:sz w:val="24"/>
                <w:szCs w:val="24"/>
              </w:rPr>
              <w:t xml:space="preserve">各安装部位</w:t>
            </w:r>
            <w:r/>
          </w:p>
        </w:tc>
        <w:tc>
          <w:tcPr>
            <w:tcBorders>
              <w:top w:val="single" w:color="auto" w:sz="8" w:space="0"/>
              <w:left w:val="single" w:color="auto" w:sz="8" w:space="0"/>
              <w:bottom w:val="single" w:color="auto" w:sz="8" w:space="0"/>
              <w:right w:val="single" w:color="auto" w:sz="8" w:space="0"/>
            </w:tcBorders>
            <w:tcW w:w="4056" w:type="dxa"/>
            <w:vAlign w:val="center"/>
            <w:textDirection w:val="lrTb"/>
            <w:noWrap w:val="false"/>
          </w:tcPr>
          <w:p>
            <w:pPr>
              <w:rPr>
                <w:rFonts w:ascii="宋体" w:hAnsi="宋体" w:cs="宋体"/>
                <w:sz w:val="24"/>
                <w:szCs w:val="24"/>
              </w:rPr>
            </w:pPr>
            <w:r>
              <w:rPr>
                <w:rFonts w:ascii="宋体" w:hAnsi="宋体" w:cs="宋体"/>
                <w:sz w:val="24"/>
                <w:szCs w:val="24"/>
              </w:rPr>
              <w:t xml:space="preserve">有无松动、腐蚀现象</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t xml:space="preserve">√</w:t>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Pr>
        <w:tc>
          <w:tcPr>
            <w:tcBorders>
              <w:top w:val="single" w:color="auto" w:sz="8" w:space="0"/>
              <w:left w:val="single" w:color="auto" w:sz="8" w:space="0"/>
              <w:bottom w:val="single" w:color="auto" w:sz="8" w:space="0"/>
              <w:right w:val="single" w:color="auto" w:sz="8" w:space="0"/>
            </w:tcBorders>
            <w:tcW w:w="71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333" w:type="dxa"/>
            <w:vAlign w:val="center"/>
            <w:vMerge w:val="restart"/>
            <w:textDirection w:val="lrTb"/>
            <w:noWrap w:val="false"/>
          </w:tcPr>
          <w:p>
            <w:pPr>
              <w:rPr>
                <w:rFonts w:ascii="宋体" w:hAnsi="宋体" w:cs="宋体"/>
                <w:sz w:val="24"/>
                <w:szCs w:val="24"/>
              </w:rPr>
            </w:pPr>
            <w:r>
              <w:rPr>
                <w:rFonts w:ascii="宋体" w:hAnsi="宋体" w:cs="宋体"/>
                <w:sz w:val="24"/>
                <w:szCs w:val="24"/>
              </w:rPr>
              <w:t xml:space="preserve">电动机</w:t>
            </w:r>
            <w:r/>
          </w:p>
        </w:tc>
        <w:tc>
          <w:tcPr>
            <w:tcBorders>
              <w:top w:val="single" w:color="auto" w:sz="8" w:space="0"/>
              <w:left w:val="single" w:color="auto" w:sz="8" w:space="0"/>
              <w:bottom w:val="single" w:color="auto" w:sz="8" w:space="0"/>
              <w:right w:val="single" w:color="auto" w:sz="8" w:space="0"/>
            </w:tcBorders>
            <w:tcW w:w="4056" w:type="dxa"/>
            <w:vAlign w:val="center"/>
            <w:textDirection w:val="lrTb"/>
            <w:noWrap w:val="false"/>
          </w:tcPr>
          <w:p>
            <w:pPr>
              <w:rPr>
                <w:rFonts w:ascii="宋体" w:hAnsi="宋体" w:cs="宋体"/>
                <w:sz w:val="24"/>
                <w:szCs w:val="24"/>
              </w:rPr>
            </w:pPr>
            <w:r>
              <w:rPr>
                <w:rFonts w:ascii="宋体" w:hAnsi="宋体" w:cs="宋体"/>
                <w:sz w:val="24"/>
                <w:szCs w:val="24"/>
              </w:rPr>
              <w:t xml:space="preserve">1.转动轴有无振动、异响、过热</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t xml:space="preserve">√</w:t>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Pr>
        <w:tc>
          <w:tcPr>
            <w:tcBorders>
              <w:top w:val="single" w:color="auto" w:sz="8" w:space="0"/>
              <w:left w:val="single" w:color="auto" w:sz="8" w:space="0"/>
              <w:bottom w:val="single" w:color="auto" w:sz="8" w:space="0"/>
              <w:right w:val="single" w:color="auto" w:sz="8" w:space="0"/>
            </w:tcBorders>
            <w:tcW w:w="71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33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4056" w:type="dxa"/>
            <w:vAlign w:val="center"/>
            <w:textDirection w:val="lrTb"/>
            <w:noWrap w:val="false"/>
          </w:tcPr>
          <w:p>
            <w:pPr>
              <w:rPr>
                <w:rFonts w:ascii="宋体" w:hAnsi="宋体" w:cs="宋体"/>
                <w:sz w:val="24"/>
                <w:szCs w:val="24"/>
              </w:rPr>
            </w:pPr>
            <w:r>
              <w:rPr>
                <w:rFonts w:ascii="宋体" w:hAnsi="宋体" w:cs="宋体"/>
                <w:sz w:val="24"/>
                <w:szCs w:val="24"/>
              </w:rPr>
              <w:t xml:space="preserve">2.润滑油的检查、更换及轴承清洗</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t xml:space="preserve">√</w:t>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Pr>
        <w:tc>
          <w:tcPr>
            <w:tcBorders>
              <w:top w:val="single" w:color="auto" w:sz="8" w:space="0"/>
              <w:left w:val="single" w:color="auto" w:sz="8" w:space="0"/>
              <w:bottom w:val="single" w:color="auto" w:sz="8" w:space="0"/>
              <w:right w:val="single" w:color="auto" w:sz="8" w:space="0"/>
            </w:tcBorders>
            <w:tcW w:w="71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33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4056" w:type="dxa"/>
            <w:vAlign w:val="center"/>
            <w:textDirection w:val="lrTb"/>
            <w:noWrap w:val="false"/>
          </w:tcPr>
          <w:p>
            <w:pPr>
              <w:rPr>
                <w:rFonts w:ascii="宋体" w:hAnsi="宋体" w:cs="宋体"/>
                <w:sz w:val="24"/>
                <w:szCs w:val="24"/>
              </w:rPr>
            </w:pPr>
            <w:r>
              <w:rPr>
                <w:rFonts w:ascii="宋体" w:hAnsi="宋体" w:cs="宋体"/>
                <w:sz w:val="24"/>
                <w:szCs w:val="24"/>
              </w:rPr>
              <w:t xml:space="preserve">3.电机的拆卸检查、轴承清洗与油脂更换</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t xml:space="preserve">√</w:t>
            </w:r>
            <w:r/>
          </w:p>
        </w:tc>
      </w:tr>
      <w:tr>
        <w:trPr>
          <w:jc w:val="center"/>
        </w:trPr>
        <w:tc>
          <w:tcPr>
            <w:tcBorders>
              <w:top w:val="single" w:color="auto" w:sz="8" w:space="0"/>
              <w:left w:val="single" w:color="auto" w:sz="8" w:space="0"/>
              <w:bottom w:val="single" w:color="auto" w:sz="8" w:space="0"/>
              <w:right w:val="single" w:color="auto" w:sz="8" w:space="0"/>
            </w:tcBorders>
            <w:tcW w:w="71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33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4056" w:type="dxa"/>
            <w:vAlign w:val="center"/>
            <w:textDirection w:val="lrTb"/>
            <w:noWrap w:val="false"/>
          </w:tcPr>
          <w:p>
            <w:pPr>
              <w:rPr>
                <w:rFonts w:ascii="宋体" w:hAnsi="宋体" w:cs="宋体"/>
                <w:sz w:val="24"/>
                <w:szCs w:val="24"/>
              </w:rPr>
            </w:pPr>
            <w:r>
              <w:rPr>
                <w:rFonts w:ascii="宋体" w:hAnsi="宋体" w:cs="宋体"/>
                <w:sz w:val="24"/>
                <w:szCs w:val="24"/>
              </w:rPr>
              <w:t xml:space="preserve">4.防护情况检查</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t xml:space="preserve">√</w:t>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Pr>
        <w:tc>
          <w:tcPr>
            <w:tcBorders>
              <w:top w:val="single" w:color="auto" w:sz="8" w:space="0"/>
              <w:left w:val="single" w:color="auto" w:sz="8" w:space="0"/>
              <w:bottom w:val="single" w:color="auto" w:sz="8" w:space="0"/>
              <w:right w:val="single" w:color="auto" w:sz="8" w:space="0"/>
            </w:tcBorders>
            <w:tcW w:w="71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33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4056" w:type="dxa"/>
            <w:vAlign w:val="center"/>
            <w:textDirection w:val="lrTb"/>
            <w:noWrap w:val="false"/>
          </w:tcPr>
          <w:p>
            <w:pPr>
              <w:rPr>
                <w:rFonts w:ascii="宋体" w:hAnsi="宋体" w:cs="宋体"/>
                <w:sz w:val="24"/>
                <w:szCs w:val="24"/>
              </w:rPr>
            </w:pPr>
            <w:r>
              <w:rPr>
                <w:rFonts w:ascii="宋体" w:hAnsi="宋体" w:cs="宋体"/>
                <w:sz w:val="24"/>
                <w:szCs w:val="24"/>
              </w:rPr>
              <w:t xml:space="preserve">5.绝缘测试</w:t>
            </w:r>
            <w:r/>
          </w:p>
          <w:p>
            <w:pPr>
              <w:rPr>
                <w:rFonts w:ascii="宋体" w:hAnsi="宋体" w:cs="宋体"/>
                <w:sz w:val="24"/>
                <w:szCs w:val="24"/>
              </w:rPr>
            </w:pPr>
            <w:r>
              <w:rPr>
                <w:rFonts w:ascii="宋体" w:hAnsi="宋体" w:cs="宋体"/>
                <w:sz w:val="24"/>
                <w:szCs w:val="24"/>
              </w:rPr>
              <w:t xml:space="preserve">6.三相电流平衡试验</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t xml:space="preserve">√</w:t>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Pr>
        <w:tc>
          <w:tcPr>
            <w:tcBorders>
              <w:top w:val="single" w:color="auto" w:sz="8" w:space="0"/>
              <w:left w:val="single" w:color="auto" w:sz="8" w:space="0"/>
              <w:bottom w:val="single" w:color="auto" w:sz="8" w:space="0"/>
              <w:right w:val="single" w:color="auto" w:sz="8" w:space="0"/>
            </w:tcBorders>
            <w:tcW w:w="71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33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4056" w:type="dxa"/>
            <w:vAlign w:val="center"/>
            <w:textDirection w:val="lrTb"/>
            <w:noWrap w:val="false"/>
          </w:tcPr>
          <w:p>
            <w:pPr>
              <w:rPr>
                <w:rFonts w:ascii="宋体" w:hAnsi="宋体" w:cs="宋体"/>
                <w:sz w:val="24"/>
                <w:szCs w:val="24"/>
              </w:rPr>
            </w:pPr>
            <w:r>
              <w:rPr>
                <w:rFonts w:ascii="宋体" w:hAnsi="宋体" w:cs="宋体"/>
                <w:sz w:val="24"/>
                <w:szCs w:val="24"/>
              </w:rPr>
              <w:t xml:space="preserve">7.运行中的电动机温升是否正常</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t xml:space="preserve">√</w:t>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r>
            <w:r/>
          </w:p>
        </w:tc>
      </w:tr>
    </w:tbl>
    <w:p>
      <w:r/>
      <w:r/>
    </w:p>
    <w:p>
      <w:pPr>
        <w:pStyle w:val="709"/>
        <w:ind w:firstLine="482"/>
        <w:spacing w:line="553"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2.3安全及应急管理</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1" w:name="OLE_LINK2"/>
      <w:r>
        <w:rPr>
          <w:rFonts w:hint="eastAsia" w:ascii="宋体" w:hAnsi="宋体" w:cs="宋体"/>
          <w:sz w:val="24"/>
          <w:szCs w:val="24"/>
        </w:rPr>
        <w:t xml:space="preserve">中标人应在建立完善的隧道运维安全及应急管理体系，包括但不限于：</w:t>
      </w:r>
      <w:r/>
    </w:p>
    <w:p>
      <w:pPr>
        <w:pStyle w:val="709"/>
        <w:ind w:firstLine="482"/>
        <w:spacing w:line="553" w:lineRule="atLeast"/>
        <w:rPr>
          <w:rFonts w:ascii="宋体" w:hAnsi="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2.3.1</w:t>
      </w:r>
      <w:r>
        <w:rPr>
          <w:rFonts w:ascii="宋体" w:hAnsi="宋体" w:cs="宋体"/>
          <w:sz w:val="24"/>
          <w:szCs w:val="24"/>
        </w:rPr>
        <w:t xml:space="preserve">日常运营安全管理</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1、中标人应建立安全及应急组织架构，配备24小时应急队伍，分工明确、各司其职、责任到人。</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针对隧道运维泵池清淤、登高作业、临边作业、高压作业、临时用电等涉危作业，应严格执行作业审批流程，严格遵守各项作业安全操作规程。电力设施等有特别维护要求的，应按有关部门的安全操作规程执行。</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3、重大活动及节假日期间，中标人应提前做好重大活动及节假日期间作业准备工作，制定各项检查及整改措施，确保重大活动及节假日期间隧道安全、稳定运营。</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参照《江苏省城市隧道建设、运行与维护指南（试行）》、《公路隧道养护技术规范》、《城市轨道交通设施养护维修技术规范》等规范要求，对隧道保护区范围内周边建筑施工情况进行安全巡查并及时上报至采购人。  </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5、中标人建立完善的安全资料档案管理制度，做到一隧一档，内容完整、详实，包括但不限于安全专项检查记录、检验检测记录、教育培训记录、应急演练记录等。</w:t>
      </w:r>
      <w:r/>
    </w:p>
    <w:p>
      <w:pPr>
        <w:pStyle w:val="709"/>
        <w:ind w:firstLine="482"/>
        <w:spacing w:line="553" w:lineRule="atLeast"/>
        <w:rPr>
          <w:rFonts w:ascii="宋体" w:hAnsi="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2.3.2运维</w:t>
      </w:r>
      <w:r>
        <w:rPr>
          <w:rFonts w:ascii="宋体" w:hAnsi="宋体" w:cs="宋体"/>
          <w:sz w:val="24"/>
          <w:szCs w:val="24"/>
        </w:rPr>
        <w:t xml:space="preserve">作业安全管理</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1、运维作业的安全防护应包括运维作业机械、人员的安全防护等</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2、在进行运维作业前，应做好以下工作：</w:t>
      </w:r>
      <w:r/>
    </w:p>
    <w:p>
      <w:pPr>
        <w:ind w:firstLine="42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（1）制定周密的施工组织计划，确定合理的工作区。</w:t>
      </w:r>
      <w:r/>
    </w:p>
    <w:p>
      <w:pPr>
        <w:ind w:firstLine="42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（2）作业人员必须接受专门的安全教育和作业规程训练，并统一着装、统一佩戴安全帽，外穿有反光标识的识别服。同时要求管理人员在岗时统一着装。中标人需充分考虑制服的换季、换洗。</w:t>
      </w:r>
      <w:r/>
    </w:p>
    <w:p>
      <w:pPr>
        <w:ind w:firstLine="42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（3）检测隧道内CO、烟雾等有害气体的浓度及能见度是否会影响施工安全。</w:t>
      </w:r>
      <w:r/>
    </w:p>
    <w:p>
      <w:pPr>
        <w:ind w:firstLine="42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（4）观察隧道结构状况是否会影响作业安全，如有危险，应先处理后作业。</w:t>
      </w:r>
      <w:r/>
    </w:p>
    <w:p>
      <w:pPr>
        <w:ind w:firstLine="42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（5）检查施工信号灯是否准确，明显，施工标志设置是否规范。</w:t>
      </w:r>
      <w:r/>
    </w:p>
    <w:p>
      <w:pPr>
        <w:ind w:firstLine="42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（6）对运维机械等应进行全面的安全检查，并应在机械上设置明显的反光标志。</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中标人须做好非中标人进入隧道内施工作业的管理、监护工作，严禁非中标人未经书面批准进入隧道内施工作业。中标人全程做好非中标人的现场监护，以保障设施、设备、人员的安全。原则上该作业时间安排在隧道关闭时间内。</w:t>
      </w:r>
      <w:r/>
    </w:p>
    <w:p>
      <w:pPr>
        <w:ind w:firstLine="42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4、定期检查、测试及维护消防系统、排水泵、应急照明、通讯设备等关键应急设施，确保其始终处于即时可用状态，维护记录存档备查。</w:t>
      </w:r>
      <w:r/>
    </w:p>
    <w:p>
      <w:pPr>
        <w:pStyle w:val="709"/>
        <w:ind w:firstLine="482"/>
        <w:spacing w:line="553" w:lineRule="atLeast"/>
        <w:rPr>
          <w:rFonts w:ascii="宋体" w:hAnsi="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2.3.3</w:t>
      </w:r>
      <w:r>
        <w:rPr>
          <w:rFonts w:ascii="宋体" w:hAnsi="宋体" w:cs="宋体"/>
          <w:sz w:val="24"/>
          <w:szCs w:val="24"/>
        </w:rPr>
        <w:t xml:space="preserve">突发事件应急处置</w:t>
      </w:r>
      <w:r>
        <w:rPr>
          <w:rFonts w:hint="eastAsia" w:ascii="宋体" w:hAnsi="宋体" w:cs="宋体"/>
          <w:sz w:val="24"/>
          <w:szCs w:val="24"/>
        </w:rPr>
        <w:t xml:space="preserve">与演练</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1、中标人应制定完善的突发</w:t>
      </w:r>
      <w:r>
        <w:rPr>
          <w:rFonts w:ascii="宋体" w:hAnsi="宋体" w:cs="宋体"/>
          <w:sz w:val="24"/>
          <w:szCs w:val="24"/>
        </w:rPr>
        <w:t xml:space="preserve">火灾、防汛防台、冰雪灾害、结构渗漏、供电中断、反恐防暴等</w:t>
      </w:r>
      <w:r>
        <w:rPr>
          <w:rFonts w:hint="eastAsia" w:ascii="宋体" w:hAnsi="宋体" w:cs="宋体"/>
          <w:sz w:val="24"/>
          <w:szCs w:val="24"/>
        </w:rPr>
        <w:t xml:space="preserve">突发事件应急预案，预案必须与本项目内容紧密相关，具备科学性、合理性、可操作性。</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中标人应及时掌握隧道的通行信息，采用必要的预防性安全措施。隧道发生突发事件时，中标人须在第一时间（3分钟内离开应急基地，15分钟内到达事故点，特殊情况除外如交通堵塞等）到达现场进行交通疏导和现场处理，避免交通堵塞和二次事故的发生，并及时修复由交通事故等突发事件造成隧道设施的损坏。</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3、针对隧道内可能发生的突发</w:t>
      </w:r>
      <w:r>
        <w:rPr>
          <w:rFonts w:ascii="宋体" w:hAnsi="宋体" w:cs="宋体"/>
          <w:sz w:val="24"/>
          <w:szCs w:val="24"/>
        </w:rPr>
        <w:t xml:space="preserve">火灾、防汛防台、冰雪灾害、结构渗漏、供电中断、反恐防暴等</w:t>
      </w:r>
      <w:r>
        <w:rPr>
          <w:rFonts w:hint="eastAsia" w:ascii="宋体" w:hAnsi="宋体" w:cs="宋体"/>
          <w:sz w:val="24"/>
          <w:szCs w:val="24"/>
        </w:rPr>
        <w:t xml:space="preserve">突发事件，制定相应的应急预案计划并实地演练，每月不低于一次，并储备必备的应急物资。         </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4、定期组织覆盖全体员工的应急知识培训与技能实操训练，内容包括但不限于：风险识别与上报流程；应急预案职责分工与协同处置；初期火灾扑救与逃生自救；急救技能与伤员转运；应急设备操作规范等。</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5、每次应急演练后72小时内完成评估报告，重点分析：响应时效性与流程衔接缺陷；人员操作规范性；设备可靠性评估；应急预案建议与优化等。</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6、建立突发事件处置后的恢复工作流程，包括但不限于：受损设施安全检测与抢修；应急物资清点与补充；事件过程复盘与责任追溯；通行条件安全认证；受影响方信息通报等。</w:t>
      </w:r>
      <w:r/>
    </w:p>
    <w:p>
      <w:pPr>
        <w:pStyle w:val="709"/>
        <w:ind w:firstLine="482"/>
        <w:spacing w:line="553" w:lineRule="atLeast"/>
        <w:rPr>
          <w:rFonts w:ascii="宋体" w:hAnsi="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2.3.4</w:t>
      </w:r>
      <w:r>
        <w:rPr>
          <w:rFonts w:ascii="宋体" w:hAnsi="宋体" w:cs="宋体"/>
          <w:sz w:val="24"/>
          <w:szCs w:val="24"/>
        </w:rPr>
        <w:t xml:space="preserve">交通组织与安全防护</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1、隧道运维作业不中断交通时，作业区间必须设置明显的安全标志，警示灯等，采取措施、保证安全并减少对交通的干扰。运维工作必须文明，做到工完、料清、场清。</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2、隧道封闭、养护期间，隧道各出入口管理由中标人负责，中标人在运维作业过程中必须设置足够的能满足要求的交通安全设施，在运维作业过程中产生的相关损失由中标人承担责任。</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3、超限运输和运送危险品的车辆需要通过隧道时，须按有关规定报经有关部门批准方可通过。</w:t>
      </w:r>
      <w:bookmarkEnd w:id="1"/>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pStyle w:val="707"/>
        <w:rPr>
          <w:rFonts w:ascii="宋体" w:hAnsi="宋体" w:eastAsia="宋体" w:cs="宋体"/>
          <w:b/>
          <w:sz w:val="24"/>
          <w:szCs w:val="24"/>
        </w:rPr>
      </w:pPr>
      <w:r>
        <w:rPr>
          <w:rFonts w:hint="eastAsia" w:ascii="宋体" w:hAnsi="宋体" w:eastAsia="宋体" w:cs="宋体"/>
          <w:b/>
          <w:sz w:val="24"/>
          <w:szCs w:val="24"/>
        </w:rPr>
        <w:t xml:space="preserve">3、维修说明</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1、本次报价采用固定总价的方式，不因实际数量与采购文件所述数量存在差异而变更总价。价格中包含了机电工程单项维修费用5000元（含）以内、土建工程单项5000元（含）以内的小修项目。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2、运维范围内单项超过5000元标准的维修费用由采购</w:t>
      </w:r>
      <w:r>
        <w:rPr>
          <w:rFonts w:hint="eastAsia" w:ascii="宋体" w:hAnsi="宋体" w:cs="宋体"/>
          <w:sz w:val="24"/>
          <w:szCs w:val="24"/>
        </w:rPr>
        <w:t xml:space="preserve">人承担责任（如不可抗力导致的损坏等），特殊紧急情况，中标人先行汇报得到采购人确认后进行维修，但事后须补办维修审批单，维修完毕后及时报采购人确认验收，中标人按季度对维修工作量进行汇总编制，采购人委托具有审计资质的单位进行审计，审计结束后按审定价一次性付清。审计时中标人须根据审计单位要求提供相应的结算资料，因中标人提供结算资料不完整或无正当理由拒不接受审计单位的意见，造成审计时间拖后，其责任由中标人自行负责。无采购人指令，中标人擅自对设施设备进行维修的，采购人不予计量。因运维不善导致的损坏修复费用由中标人承担。</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在审计后，如单项结算费用未达到5000元标准，该项维修及审计等相关费用由中标人自行承担。</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（注：单项系指每处、每台、每套或每个等可分解的最小计量单位；如墙面、地面或天棚为每处，在空间上不相连的不可归于一处；如风机为每台、每套，灯为每套等，以此类推。）</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3、维修项目中的设备、配件、材料更换时应采用与原品牌规格相同的配件，如原品牌淘汰或规格更新则需采用同档次产品并经须业主认可。如果单项维修项目达到政府采购限额标准的，需另行招标。</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4、在日常运维工作中，如某项运维工作、故障维修任务，中标人无法处理或处理不积极，问题长时间拖延得不到解决，采购人有权将该项运维工作工程量直接交给第三方进行处理，发生费用由中标人予以结算。</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pStyle w:val="707"/>
        <w:rPr>
          <w:rFonts w:ascii="宋体" w:hAnsi="宋体" w:eastAsia="宋体" w:cs="宋体"/>
          <w:b/>
          <w:sz w:val="24"/>
          <w:szCs w:val="24"/>
        </w:rPr>
      </w:pPr>
      <w:r>
        <w:rPr>
          <w:rFonts w:hint="eastAsia" w:ascii="宋体" w:hAnsi="宋体" w:eastAsia="宋体" w:cs="宋体"/>
          <w:b/>
          <w:sz w:val="24"/>
          <w:szCs w:val="24"/>
        </w:rPr>
        <w:t xml:space="preserve">4、考核及其他要求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1、中标人提供的服务必须达到采购人提出的运维要求，同时明确详细的运维方案。</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本次报价应包括所有服务内容（专项维修、大修维修费用价格除外）、专用工具费用、税费、保险、检测验收、安装调试、技术支持与培训、相关劳务支出等工作所发生的全部费用以及中标人利润、税金和政策性文件规定及合同包含的所有风险、责任等各项应有费用。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3、本次采购项目内所有设施、设备种类及数量均以隧道工程竣工图为准。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4、中标人在运维过程中需做好相关技术、安全等资料，采购人可随时抽查并作为考核重要依据。在合同完成前，中标人有义务配合采购人做好资料等交接工作。</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5、运维考核集中检查次数每周2次，随机抽查2到3次。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6、根据项目应急需求，中标单位适时提供相关应急车辆及机械设备。</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7、本项目运维考核内容及奖惩条例</w:t>
      </w:r>
      <w:r/>
    </w:p>
    <w:tbl>
      <w:tblPr>
        <w:tblStyle w:val="717"/>
        <w:tblW w:w="8160" w:type="dxa"/>
        <w:tblInd w:w="96" w:type="dxa"/>
        <w:tblLayout w:type="fixed"/>
        <w:tblCellMar>
          <w:left w:w="108" w:type="dxa"/>
          <w:top w:w="0" w:type="dxa"/>
          <w:right w:w="108" w:type="dxa"/>
          <w:bottom w:w="0" w:type="dxa"/>
        </w:tblCellMar>
        <w:tblLook w:val="04A0" w:firstRow="1" w:lastRow="0" w:firstColumn="1" w:lastColumn="0" w:noHBand="0" w:noVBand="1"/>
      </w:tblPr>
      <w:tblGrid>
        <w:gridCol w:w="581"/>
        <w:gridCol w:w="4949"/>
        <w:gridCol w:w="1187"/>
        <w:gridCol w:w="1443"/>
      </w:tblGrid>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考核项目</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扣分说明</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备注</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管理考核</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项目经理未经批准缺岗</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每缺勤一天扣5分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主要管理人员（技术负责人、专业工程师）擅自离岗</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每缺勤一天扣3分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实际在岗人数低于招标要求</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每少一人每天扣1分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项目经理资质不符</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每缺一人每天扣2分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关键岗位人员资质不符</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每缺一人每天扣2分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值班人员违反规定、擅离职守（包含睡岗、玩手机、打游戏等与工作无关的事项）</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每发现一次扣3分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重大节假日、重大活动及冬防防汛期间项目主要领导（项目经理或技术负责人）未进行带班值守值班。</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不服从采购人工作指令</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每发现一次扣5分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物资储备数量和规格不符合要求</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物资仓库不整洁、物资设备摆放杂乱的、污损的。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因物资准备不充分延误养护作业或维修的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项目配置的机械设备（含主要工具）不满足合同要求的。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每缺一项每天扣1分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运维车辆未按时上报日常保养及定期维修（包括车辆内部杂乱、表面剐蹭、设备设施损坏、未按要求遮盖）。</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运维车辆、设备未按时保养、调试及年审。</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冬防设备、滚刷、洗墙车等日常运维、存放不当的。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车辆设备未按照要求进行使用、保养造成车辆故障的。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车辆在施救过程中未按规范要求操作导致本身或被施救方损失的。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造成的损失由中标人自行承担</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其他不符合管理规定的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土建运维考核</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未按巡视时间、周期、内容要求或遗漏巡视检查。</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每例扣4分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巡视应该发现未发现的土建问题或隐患。</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隧道侧墙和防撞墙清洁达不到招标文件和规范要求或发现明显的脏污</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隧道装饰板、防火顶板有明显灰尘或污渍的。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横截沟、伸缩缝未按时清理或清理不彻底。</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泵池、坑清淤、清捞不彻底，有明显垃圾杂物的。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未按保养要求实施，导致设施损坏。</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隧道及工作井顶板、底板、侧墙及路面渗水当班时间内未发现或未及时记录上报。</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每延迟1班次扣2分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防火板及悬挂设施未能有效检查，导致安全事故的（赔款外扣5分）</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每次扣5分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如有赔偿由中标人自行承担</w:t>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未按时间、周期、内容要求开始土建维修作业。</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运维范围内各类箱体缺损未在2天内修复。</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土建维修开始后2日内未完成作业的（每延迟一天按一处进行处罚，提供情况说明除外）。</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每延迟一天扣1分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90"/>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土建维修质量不合格的（整改依旧不合格扣分累计）</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土建施工组织不合理，效率低下，现场管理混乱。</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土建专项工作未按要求时间完成。</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每项每延迟1天扣1分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监控中心、机房等地板损坏未在3天内更换或修复。</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路面坑槽未在3天内及时修复。</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每延迟1天修复扣1分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横截沟盖板、窖井盖破损、丢失未当天补充更换。</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侧墙装饰板损坏未当天及时修复。</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隧道内各层地面有明显积水当天未及时处理。（视情况修复）</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58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因房间漏水未及时防护，造成设备损坏。</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并承担设备维修费用</w:t>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消防、人防、逃生设施故障，当班时间内未发现和修复的。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土建专项维修原因不明，可维修的进行更换或小修的故意大修，造成资金浪费的。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每项扣5分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专项维修费自行承担</w:t>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未能按要求完成采购人布置的土建临时出工、专项检查、专项维修等任务。</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sz w:val="24"/>
                <w:szCs w:val="24"/>
                <w:lang w:bidi="ar"/>
              </w:rPr>
              <w:t xml:space="preserve">其他不符合土建运维考核规定的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机电运维考核</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未按巡视时间、周期、内容要求或遗漏巡视检查。</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每例扣4分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巡视应该发现未发现的机电问题或隐患。</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变电所、风塔、工作井、照明灯具表面、配电箱、控制箱等设施设备有明显积灰、蜘蛛网、污损的。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各类管道接头、抱箍处松动渗漏、锈蚀；吊架、支架等松动、锈蚀。</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未按时间、周期、内容要求进行保养作业、检修作业。。</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7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未按保养要求实施，导致设施、设备损坏、锈蚀的。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7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设施、设备故障未及时发现。</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7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未按照规范填写倒闸操作票。</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未按要求对相关设备进行定期检测的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灭火器压力不足、失效未按招标文件和规范要求进行检查和更换</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消防设施检查专项报告（由有消防维保资质单位出具）未按要求提供。</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机电专项工作未按要求时间完成。</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每项每延迟1天扣1分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1110"/>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未及时修复设施、设备故障（常规维修需提前上报维修方案。如上报，按照限定时间，如未上报，按照未上报及不及时双倍处罚）。</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1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机电维修开始后2日内未完成检修作业的（每延迟一天按一处进行处罚，提供情况说明除外）。</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每延迟一天扣1分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100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机电维修质量不合格的（整改依旧不合格扣分累计）</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1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机电施工组织不合理，效率低下，现场管理混乱。</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1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各类线缆、保护管未按要求进行维护。</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1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排水泵各类止回阀、闸阀表面锈蚀，渗漏及关闭不严的。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1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变电所绝缘垫有破损未在3天内更换。</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1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因未按要求保养导致设备故障导致排水不畅或路面淹水。</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机电专项维修原因不明，可维修的进行更换或小修的故意大修，造成资金浪费的。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每项扣5分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专项维修费自行承担</w:t>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未能按要求完成采购人布置的机电临时出工、专项检查、专项维修等任务。</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sz w:val="24"/>
                <w:szCs w:val="24"/>
                <w:lang w:bidi="ar"/>
              </w:rPr>
              <w:t xml:space="preserve">其他不符合机电运维考核规定的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安全及应急管理考核</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应急抢险通知后15分钟内人员、工具、设备、物资不到位。</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每例扣5分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影响运行的紧急抢修（含清障）30分钟内未排除或有效控制险情。</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普通抢险24小时内未完成（涉及消防、供电、运营、安全等）。</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隧道突发停电10分钟内未有效应急处置。</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运维车辆处理紧急事故出动因车辆日常维护不到位耽误处置。</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运维范围内消防设施故障未在4小时采取有效措施（各类探测器、感温光纤、报警装置等）。</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每延迟1小时扣1分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消防联动中出现故障未在24小时内修复（如探测器未报警、喷淋不喷水、泡沫液未融合等）。</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对现场事故的处理、疏导不力，引起二次事故或公众投诉</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重大事故、设备故障及隐患10分钟内未及时上报。</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每例扣5分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各类演练、演习配合不积极、不到位或耽误时间的。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施工、检修未按规范操作或未正确穿戴劳保用品。</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各种防护用品、设备仪表未按时报检过期的或存在安全隐患的。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警示、指示、施工安全标志不全</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安全检查达不到招标文件和规范要求。</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发现重大安全隐患10分钟内未采取有效控制措施并及时上报的。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每例扣5分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在配变电所摆放床铺、私拉电线</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生活区存在私拉电线、火灾隐患等问题。</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外来施工单位未经采购单位审批擅自进入运维范围内</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对外来施工单位监管不力，存在施工结束未清场、施工现场未打扫等问题</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未按要求配合消防、供电等单位的检查或检查不合格的。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lang w:bidi="ar"/>
              </w:rPr>
            </w:pPr>
            <w:r>
              <w:rPr>
                <w:rFonts w:hint="eastAsia"/>
              </w:rPr>
              <w:t xml:space="preserve">12345投诉</w:t>
            </w:r>
            <w:r>
              <w:t xml:space="preserve">处置不及时、不到位的。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lang w:bidi="ar"/>
              </w:rPr>
            </w:pPr>
            <w:r>
              <w:rPr>
                <w:rFonts w:hint="eastAsia"/>
              </w:rPr>
              <w:t xml:space="preserve">每</w:t>
            </w:r>
            <w:r>
              <w:t xml:space="preserve">有</w:t>
            </w:r>
            <w:r>
              <w:rPr>
                <w:rFonts w:hint="eastAsia"/>
              </w:rPr>
              <w:t xml:space="preserve">一例</w:t>
            </w:r>
            <w:r>
              <w:t xml:space="preserve">扣</w:t>
            </w:r>
            <w:r>
              <w:rPr>
                <w:rFonts w:hint="eastAsia"/>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其他安全运管不到位的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五</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档案及后勤管理考核</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未按招标文件和规范建立运维记录及台账。</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巡检记录与实际不相符的、记录签字不全的、代签的。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对各类检查结构病害未建立相关台账（含照片、录像等）。</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运维计划、运维资料上报、归档不及时。</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各项资料与实际不相符；台</w:t>
            </w:r>
            <w:r>
              <w:rPr>
                <w:rFonts w:hint="eastAsia" w:ascii="宋体" w:hAnsi="宋体" w:cs="宋体"/>
                <w:sz w:val="24"/>
                <w:szCs w:val="24"/>
                <w:lang w:val="en-US" w:eastAsia="zh-CN" w:bidi="ar"/>
              </w:rPr>
              <w:t xml:space="preserve">账</w:t>
            </w:r>
            <w:r>
              <w:rPr>
                <w:rFonts w:hint="eastAsia" w:ascii="宋体" w:hAnsi="宋体" w:cs="宋体"/>
                <w:sz w:val="24"/>
                <w:szCs w:val="24"/>
                <w:lang w:bidi="ar"/>
              </w:rPr>
              <w:t xml:space="preserve">记录不完整或记录错误；资料保管不善造成脏污、毁损、丢失。</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施工作业单未及时上报、作业内容未按计划、按要求填写。</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送审材料及专项方案上报不及时。</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工作及整改通知未在规定时间内签收并完成的。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每次每天扣1分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专项工作未按规定时间上报符合项目可实施方案。</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每次每天扣1分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交接班记录未将设施、设备故障未交接或交接不清楚的。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其他档案及后勤管理不到位的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gridSpan w:val="4"/>
            <w:shd w:val="clear" w:color="auto" w:fill="ffffff"/>
            <w:tcBorders>
              <w:top w:val="single" w:color="000000" w:sz="4" w:space="0"/>
              <w:left w:val="single" w:color="000000" w:sz="4" w:space="0"/>
              <w:bottom w:val="single" w:color="000000" w:sz="4" w:space="0"/>
              <w:right w:val="single" w:color="000000" w:sz="4" w:space="0"/>
            </w:tcBorders>
            <w:tcW w:w="8160"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隧道奖惩条款</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bottom"/>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处罚事项</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运维辖区发生责任性淹水事件。</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发生责任性停电事故。</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冬防期间路面积雪未在规定时间清理完毕，对正常开道或通行安全造成影响。</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对外来施工监管不到位造成责任性事故</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抢险救灾、应急处置有较大失误，造成较大的影响。</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运维工作不得力，产生负面的社会影响，对采购人声誉造成影响的。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其他未按要求运维造成相应损失的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ffffff"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pPr>
            <w:r>
              <w:rPr>
                <w:rFonts w:hint="eastAsia" w:ascii="宋体" w:hAnsi="宋体" w:cs="宋体"/>
                <w:sz w:val="24"/>
                <w:szCs w:val="24"/>
                <w:lang w:bidi="ar"/>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jc w:val="left"/>
            </w:pPr>
            <w:r>
              <w:rPr>
                <w:rFonts w:hint="eastAsia"/>
              </w:rPr>
              <w:t xml:space="preserve">因12345投诉</w:t>
            </w:r>
            <w:r>
              <w:t xml:space="preserve">处置不及时、不到位</w:t>
            </w:r>
            <w:r>
              <w:rPr>
                <w:rFonts w:hint="eastAsia"/>
              </w:rPr>
              <w:t xml:space="preserve">，</w:t>
            </w:r>
            <w:r>
              <w:t xml:space="preserve">对业主单位声誉造成影响的或财产造成损失的</w:t>
            </w:r>
            <w:r>
              <w:rPr>
                <w:rFonts w:hint="eastAsia"/>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备注：上述事项如发生一例，未造成严重后果的每次扣除一万元；如造成严重后果的每次扣除两万元并承担造成的一切后果。</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b/>
                <w:bCs/>
                <w:sz w:val="24"/>
                <w:szCs w:val="24"/>
              </w:rPr>
            </w:pPr>
            <w:r>
              <w:rPr>
                <w:rFonts w:ascii="宋体" w:hAnsi="宋体" w:cs="宋体"/>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奖励事项</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中标人在日常运维中能主动提出合理化建议、改造方案。</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一经采用每次奖励三千元</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抢险救灾有突出贡献，获得市级及市级以上表彰的。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每次奖励三千元</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重大活动保障得力，获得媒体、群众好评，产生积极的社会影响的。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每次奖励三千元</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积极探索运维管养新技术、新材料、新工艺，对运维工作产生重大技术革新，取得良好经济效益的。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一经采用每次奖励三千元</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运维工作获得局、市、省表彰奖励的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每次奖励三千元</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bl>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2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rPr>
          <w:rFonts w:eastAsia="Times New Roman"/>
          <w:color w:val="00000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sz w:val="24"/>
          <w:szCs w:val="24"/>
        </w:rPr>
        <w:t xml:space="preserve">采购人与中标单位签订政府采购合同，根据招标文件及合同规定和中标人投标承诺的具体事项和考核办法进行考核。当月考核得分达到90分（含90分），月支付费用为当年中标价÷12；当月考核得分高于80分（含80分）未达到90分，月支付费用为当年中标价÷12×70%+当年中标价÷12 ×30%×（当月考核得分÷100）；当月考核得分低于80分，月支付费用为当年中标价÷12×当月考核得分÷100。如单月得分低于60分或连续3个月考核低于80分，采购人有权解除合同。</w:t>
      </w:r>
      <w:r/>
    </w:p>
    <w:p>
      <w:pPr>
        <w:spacing w:before="240" w:after="240"/>
        <w:pBdr>
          <w:top w:val="none" w:color="000000" w:sz="0" w:space="0"/>
          <w:left w:val="none" w:color="000000" w:sz="0" w:space="0"/>
          <w:bottom w:val="none" w:color="000000" w:sz="0" w:space="0"/>
          <w:right w:val="none" w:color="000000" w:sz="0" w:space="0"/>
        </w:pBdr>
      </w:pPr>
      <w:r/>
      <w:r/>
    </w:p>
    <w:p>
      <w:pPr>
        <w:pStyle w:val="707"/>
        <w:rPr>
          <w:rFonts w:hint="eastAsia"/>
        </w:rPr>
      </w:pPr>
      <w:r>
        <w:rPr>
          <w:rFonts w:ascii="黑体" w:hAnsi="黑体" w:cs="黑体"/>
          <w:color w:val="000000"/>
        </w:rPr>
        <w:t xml:space="preserve"> 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9"/>
        <w:spacing w:before="240" w:after="24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w:t>
      </w:r>
      <w:r/>
    </w:p>
    <w:p>
      <w:pPr>
        <w:ind w:firstLine="439"/>
        <w:spacing w:before="240" w:after="240"/>
        <w:rPr>
          <w:rFonts w:ascii="宋体" w:hAnsi="宋体" w:cs="宋体"/>
          <w:color w:val="0070c0"/>
          <w:sz w:val="24"/>
          <w:szCs w:val="24"/>
        </w:rPr>
        <w:pBdr>
          <w:top w:val="none" w:color="000000" w:sz="0" w:space="0"/>
          <w:left w:val="none" w:color="000000" w:sz="0" w:space="0"/>
          <w:bottom w:val="none" w:color="000000" w:sz="0" w:space="0"/>
          <w:right w:val="none" w:color="000000" w:sz="0" w:space="0"/>
        </w:pBdr>
      </w:pPr>
      <w:r>
        <w:rPr>
          <w:rFonts w:ascii="宋体" w:hAnsi="宋体" w:cs="宋体"/>
          <w:color w:val="0070c0"/>
          <w:sz w:val="24"/>
          <w:szCs w:val="24"/>
        </w:rPr>
      </w:r>
      <w:r/>
    </w:p>
    <w:tbl>
      <w:tblPr>
        <w:tblStyle w:val="761"/>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6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6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0" w:type="dxa"/>
            <w:textDirection w:val="lrTb"/>
            <w:noWrap w:val="false"/>
          </w:tcPr>
          <w:p>
            <w:pPr>
              <w:jc w:val="center"/>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满足招标文件全部实质性要求，且按照评审因素的量化指标评审得分最高的投标人为中标候选人。</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本项目专门面向中小企业：否</w:t>
      </w:r>
      <w:r/>
    </w:p>
    <w:tbl>
      <w:tblPr>
        <w:tblStyle w:val="761"/>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0"/>
        <w:gridCol w:w="73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否</w:t>
            </w:r>
            <w:r/>
          </w:p>
        </w:tc>
      </w:tr>
    </w:tbl>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ascii="宋体" w:hAnsi="宋体" w:cs="宋体"/>
          <w:color w:val="000000"/>
          <w:sz w:val="24"/>
          <w:highlight w:val="yellow"/>
          <w:u w:val="single"/>
        </w:rPr>
        <w:t xml:space="preserve">20%</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highlight w:val="yellow"/>
          <w:u w:val="single"/>
        </w:rPr>
        <w:t xml:space="preserve">20%</w:t>
      </w:r>
      <w:r>
        <w:rPr>
          <w:rFonts w:ascii="宋体" w:hAnsi="宋体" w:cs="宋体"/>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highlight w:val="yellow"/>
          <w:u w:val="single"/>
        </w:rPr>
        <w:t xml:space="preserve">20%</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highlight w:val="yellow"/>
          <w:u w:val="single"/>
        </w:rPr>
        <w:t xml:space="preserve">6%</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highlight w:val="yellow"/>
          <w:u w:val="single"/>
        </w:rPr>
        <w:t xml:space="preserve">20%</w:t>
      </w:r>
      <w:r>
        <w:rPr>
          <w:rFonts w:ascii="宋体" w:hAnsi="宋体" w:cs="宋体"/>
          <w:color w:val="000000"/>
          <w:sz w:val="24"/>
        </w:rPr>
        <w:t xml:space="preserve">价格扣除，用扣除后的价格参与评审。</w:t>
      </w:r>
      <w:r/>
    </w:p>
    <w:tbl>
      <w:tblPr>
        <w:tblStyle w:val="717"/>
        <w:tblW w:w="9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8142"/>
      </w:tblGrid>
      <w:tr>
        <w:trPr>
          <w:trHeight w:val="557"/>
        </w:trPr>
        <w:tc>
          <w:tcPr>
            <w:tcMar>
              <w:left w:w="108" w:type="dxa"/>
              <w:top w:w="0" w:type="dxa"/>
              <w:right w:w="108" w:type="dxa"/>
              <w:bottom w:w="0" w:type="dxa"/>
            </w:tcMar>
            <w:tcW w:w="1417" w:type="dxa"/>
            <w:vAlign w:val="center"/>
            <w:textDirection w:val="lrTb"/>
            <w:noWrap w:val="false"/>
          </w:tcPr>
          <w:p>
            <w:pPr>
              <w:jc w:val="center"/>
              <w:spacing w:before="120" w:after="120" w:line="400" w:lineRule="exact"/>
              <w:rPr>
                <w:rFonts w:ascii="宋体" w:hAnsi="宋体"/>
                <w:sz w:val="24"/>
                <w:szCs w:val="24"/>
              </w:rPr>
            </w:pPr>
            <w:r>
              <w:rPr>
                <w:rFonts w:hint="eastAsia" w:ascii="宋体" w:hAnsi="宋体"/>
                <w:sz w:val="24"/>
                <w:szCs w:val="24"/>
              </w:rPr>
              <w:t xml:space="preserve">报价</w:t>
            </w:r>
            <w:r/>
          </w:p>
          <w:p>
            <w:pPr>
              <w:jc w:val="center"/>
              <w:spacing w:before="120" w:after="120" w:line="400" w:lineRule="exact"/>
              <w:rPr>
                <w:rFonts w:ascii="宋体" w:hAnsi="宋体"/>
                <w:sz w:val="24"/>
                <w:szCs w:val="24"/>
              </w:rPr>
            </w:pPr>
            <w:r>
              <w:rPr>
                <w:rFonts w:hint="eastAsia" w:ascii="宋体" w:hAnsi="宋体"/>
                <w:sz w:val="24"/>
                <w:szCs w:val="24"/>
              </w:rPr>
              <w:t xml:space="preserve">（10分）</w:t>
            </w:r>
            <w:r/>
          </w:p>
        </w:tc>
        <w:tc>
          <w:tcPr>
            <w:tcMar>
              <w:left w:w="108" w:type="dxa"/>
              <w:top w:w="0" w:type="dxa"/>
              <w:right w:w="108" w:type="dxa"/>
              <w:bottom w:w="0" w:type="dxa"/>
            </w:tcMar>
            <w:tcW w:w="8142" w:type="dxa"/>
            <w:vAlign w:val="center"/>
            <w:textDirection w:val="lrTb"/>
            <w:noWrap w:val="false"/>
          </w:tcPr>
          <w:p>
            <w:pPr>
              <w:jc w:val="left"/>
              <w:spacing w:before="120" w:after="120" w:line="400" w:lineRule="exact"/>
              <w:rPr>
                <w:rFonts w:ascii="宋体" w:hAnsi="宋体"/>
                <w:sz w:val="24"/>
                <w:szCs w:val="24"/>
              </w:rPr>
            </w:pPr>
            <w:r>
              <w:rPr>
                <w:rFonts w:hint="eastAsia" w:ascii="宋体" w:hAnsi="宋体"/>
                <w:sz w:val="24"/>
                <w:szCs w:val="24"/>
              </w:rPr>
              <w:t xml:space="preserve">以满足招标文件要求的最低投标报价为评标基准价，得满分10分，其他投标报价得分＝（评标基准价/其他投标报价）×10×100%。</w:t>
            </w:r>
            <w:r/>
          </w:p>
        </w:tc>
      </w:tr>
      <w:tr>
        <w:trPr>
          <w:trHeight w:val="557"/>
        </w:trPr>
        <w:tc>
          <w:tcPr>
            <w:tcMar>
              <w:left w:w="108" w:type="dxa"/>
              <w:top w:w="0" w:type="dxa"/>
              <w:right w:w="108" w:type="dxa"/>
              <w:bottom w:w="0" w:type="dxa"/>
            </w:tcMar>
            <w:tcW w:w="1417" w:type="dxa"/>
            <w:vAlign w:val="center"/>
            <w:vMerge w:val="restart"/>
            <w:textDirection w:val="lrTb"/>
            <w:noWrap w:val="false"/>
          </w:tcPr>
          <w:p>
            <w:pPr>
              <w:jc w:val="center"/>
              <w:spacing w:before="120" w:after="120" w:line="400" w:lineRule="exact"/>
              <w:rPr>
                <w:rFonts w:ascii="宋体" w:hAnsi="宋体"/>
                <w:sz w:val="24"/>
                <w:szCs w:val="24"/>
              </w:rPr>
            </w:pPr>
            <w:r>
              <w:rPr>
                <w:rFonts w:hint="eastAsia"/>
                <w:sz w:val="24"/>
                <w:szCs w:val="24"/>
              </w:rPr>
              <w:t xml:space="preserve">隧道运维总体管理方案（10分）</w:t>
            </w:r>
            <w:r/>
          </w:p>
        </w:tc>
        <w:tc>
          <w:tcPr>
            <w:tcMar>
              <w:left w:w="108" w:type="dxa"/>
              <w:top w:w="0" w:type="dxa"/>
              <w:right w:w="108" w:type="dxa"/>
              <w:bottom w:w="0" w:type="dxa"/>
            </w:tcMar>
            <w:tcW w:w="8142" w:type="dxa"/>
            <w:textDirection w:val="lrTb"/>
            <w:noWrap w:val="false"/>
          </w:tcPr>
          <w:p>
            <w:pPr>
              <w:spacing w:line="360" w:lineRule="exact"/>
              <w:rPr>
                <w:rFonts w:ascii="宋体" w:hAnsi="宋体"/>
                <w:sz w:val="24"/>
                <w:szCs w:val="24"/>
              </w:rPr>
            </w:pPr>
            <w:r>
              <w:rPr>
                <w:rFonts w:hint="eastAsia" w:ascii="宋体" w:hAnsi="宋体" w:cs="宋体"/>
                <w:sz w:val="24"/>
                <w:szCs w:val="24"/>
              </w:rPr>
              <w:t xml:space="preserve">1、根据招标文件中隧道运维计划管理要求，投标人提供运维计划管理方案，</w:t>
            </w:r>
            <w:r>
              <w:rPr>
                <w:rFonts w:hint="eastAsia" w:ascii="宋体" w:hAnsi="宋体"/>
                <w:sz w:val="24"/>
                <w:szCs w:val="24"/>
              </w:rPr>
              <w:t xml:space="preserve">方案须结构清晰，描述准确、全面、完整，内容科学合理且具有针对性。优于招标要求的得2分，符合招标要求的得1分；不符合招标要求、未提供或照抄招标文件的得0分。</w:t>
            </w:r>
            <w:r/>
          </w:p>
        </w:tc>
      </w:tr>
      <w:tr>
        <w:trPr>
          <w:trHeight w:val="557"/>
        </w:trPr>
        <w:tc>
          <w:tcPr>
            <w:tcMar>
              <w:left w:w="108" w:type="dxa"/>
              <w:top w:w="0" w:type="dxa"/>
              <w:right w:w="108" w:type="dxa"/>
              <w:bottom w:w="0" w:type="dxa"/>
            </w:tcMar>
            <w:tcW w:w="1417" w:type="dxa"/>
            <w:vAlign w:val="center"/>
            <w:vMerge w:val="continue"/>
            <w:textDirection w:val="lrTb"/>
            <w:noWrap w:val="false"/>
          </w:tcPr>
          <w:p>
            <w:pPr>
              <w:jc w:val="center"/>
              <w:spacing w:before="120" w:after="120" w:line="400" w:lineRule="exact"/>
              <w:rPr>
                <w:rFonts w:ascii="宋体" w:hAnsi="宋体"/>
                <w:sz w:val="24"/>
                <w:szCs w:val="24"/>
              </w:rPr>
            </w:pPr>
            <w:r>
              <w:rPr>
                <w:rFonts w:ascii="宋体" w:hAnsi="宋体"/>
                <w:sz w:val="24"/>
                <w:szCs w:val="24"/>
              </w:rPr>
            </w:r>
            <w:r/>
          </w:p>
        </w:tc>
        <w:tc>
          <w:tcPr>
            <w:tcMar>
              <w:left w:w="108" w:type="dxa"/>
              <w:top w:w="0" w:type="dxa"/>
              <w:right w:w="108" w:type="dxa"/>
              <w:bottom w:w="0" w:type="dxa"/>
            </w:tcMar>
            <w:tcW w:w="8142" w:type="dxa"/>
            <w:textDirection w:val="lrTb"/>
            <w:noWrap w:val="false"/>
          </w:tcPr>
          <w:p>
            <w:pPr>
              <w:spacing w:line="360" w:lineRule="exact"/>
              <w:rPr>
                <w:rFonts w:ascii="宋体" w:hAnsi="宋体"/>
                <w:sz w:val="24"/>
                <w:szCs w:val="24"/>
              </w:rPr>
            </w:pPr>
            <w:r>
              <w:rPr>
                <w:rFonts w:hint="eastAsia" w:ascii="宋体" w:hAnsi="宋体" w:cs="宋体"/>
                <w:sz w:val="24"/>
                <w:szCs w:val="24"/>
              </w:rPr>
              <w:t xml:space="preserve">2、根据招标文件中运维资料档案管理要求，投标人提供隧道运维资料档案管理方案，</w:t>
            </w:r>
            <w:r>
              <w:rPr>
                <w:rFonts w:hint="eastAsia" w:ascii="宋体" w:hAnsi="宋体"/>
                <w:sz w:val="24"/>
                <w:szCs w:val="24"/>
              </w:rPr>
              <w:t xml:space="preserve">方案须结构清晰，描述准确、全面、完整，内容科学合理且具有有针对性。优于招标要求的得2分，符合招标要求的得1分；不符合招标要求、未提供或照抄招标文件的得0分。</w:t>
            </w:r>
            <w:r/>
          </w:p>
        </w:tc>
      </w:tr>
      <w:tr>
        <w:trPr>
          <w:trHeight w:val="557"/>
        </w:trPr>
        <w:tc>
          <w:tcPr>
            <w:tcMar>
              <w:left w:w="108" w:type="dxa"/>
              <w:top w:w="0" w:type="dxa"/>
              <w:right w:w="108" w:type="dxa"/>
              <w:bottom w:w="0" w:type="dxa"/>
            </w:tcMar>
            <w:tcW w:w="1417" w:type="dxa"/>
            <w:vAlign w:val="center"/>
            <w:vMerge w:val="continue"/>
            <w:textDirection w:val="lrTb"/>
            <w:noWrap w:val="false"/>
          </w:tcPr>
          <w:p>
            <w:pPr>
              <w:jc w:val="center"/>
              <w:spacing w:before="120" w:after="120" w:line="400" w:lineRule="exact"/>
              <w:rPr>
                <w:rFonts w:ascii="宋体" w:hAnsi="宋体"/>
                <w:sz w:val="24"/>
                <w:szCs w:val="24"/>
              </w:rPr>
            </w:pPr>
            <w:r>
              <w:rPr>
                <w:rFonts w:ascii="宋体" w:hAnsi="宋体"/>
                <w:sz w:val="24"/>
                <w:szCs w:val="24"/>
              </w:rPr>
            </w:r>
            <w:r/>
          </w:p>
        </w:tc>
        <w:tc>
          <w:tcPr>
            <w:tcMar>
              <w:left w:w="108" w:type="dxa"/>
              <w:top w:w="0" w:type="dxa"/>
              <w:right w:w="108" w:type="dxa"/>
              <w:bottom w:w="0" w:type="dxa"/>
            </w:tcMar>
            <w:tcW w:w="8142" w:type="dxa"/>
            <w:textDirection w:val="lrTb"/>
            <w:noWrap w:val="false"/>
          </w:tcPr>
          <w:p>
            <w:pPr>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3、根据招标文件中隧道运维人员管理要求，投标人提供隧道隧道运维人员管理方案，</w:t>
            </w:r>
            <w:r>
              <w:rPr>
                <w:rFonts w:hint="eastAsia" w:ascii="宋体" w:hAnsi="宋体"/>
                <w:sz w:val="24"/>
                <w:szCs w:val="24"/>
              </w:rPr>
              <w:t xml:space="preserve">方案须结构清晰，描述准确、全面、完整，内容科学合理且具有针对性。优于招标要求的得2分，符合招标要求的得1分；不符合招标要求、未提供或照抄招标文件的得0分。</w:t>
            </w:r>
            <w:r/>
          </w:p>
        </w:tc>
      </w:tr>
      <w:tr>
        <w:trPr>
          <w:trHeight w:val="557"/>
        </w:trPr>
        <w:tc>
          <w:tcPr>
            <w:tcMar>
              <w:left w:w="108" w:type="dxa"/>
              <w:top w:w="0" w:type="dxa"/>
              <w:right w:w="108" w:type="dxa"/>
              <w:bottom w:w="0" w:type="dxa"/>
            </w:tcMar>
            <w:tcW w:w="1417" w:type="dxa"/>
            <w:vAlign w:val="center"/>
            <w:vMerge w:val="continue"/>
            <w:textDirection w:val="lrTb"/>
            <w:noWrap w:val="false"/>
          </w:tcPr>
          <w:p>
            <w:pPr>
              <w:jc w:val="center"/>
              <w:spacing w:before="120" w:after="120" w:line="400" w:lineRule="exact"/>
              <w:rPr>
                <w:rFonts w:ascii="宋体" w:hAnsi="宋体"/>
                <w:sz w:val="24"/>
                <w:szCs w:val="24"/>
              </w:rPr>
            </w:pPr>
            <w:r>
              <w:rPr>
                <w:rFonts w:ascii="宋体" w:hAnsi="宋体"/>
                <w:sz w:val="24"/>
                <w:szCs w:val="24"/>
              </w:rPr>
            </w:r>
            <w:r/>
          </w:p>
        </w:tc>
        <w:tc>
          <w:tcPr>
            <w:tcMar>
              <w:left w:w="108" w:type="dxa"/>
              <w:top w:w="0" w:type="dxa"/>
              <w:right w:w="108" w:type="dxa"/>
              <w:bottom w:w="0" w:type="dxa"/>
            </w:tcMar>
            <w:tcW w:w="8142"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4、根据招标文件中隧道运维设施设备、机械设备、物资管理要求，投标人提供隧道运维设施设备、机械设备、物资管理方案。</w:t>
            </w:r>
            <w:r>
              <w:rPr>
                <w:rFonts w:hint="eastAsia" w:ascii="宋体" w:hAnsi="宋体"/>
                <w:sz w:val="24"/>
                <w:szCs w:val="24"/>
              </w:rPr>
              <w:t xml:space="preserve">方案须结构清晰，描述准确、全面、完整，内容科学合理且具有针对性。优于招标要求的得2分，符合招标要求的得1分；不符合招标要求、未提供或照抄招标文件的得0分。</w:t>
            </w:r>
            <w:r/>
          </w:p>
        </w:tc>
      </w:tr>
      <w:tr>
        <w:trPr>
          <w:trHeight w:val="557"/>
        </w:trPr>
        <w:tc>
          <w:tcPr>
            <w:tcMar>
              <w:left w:w="108" w:type="dxa"/>
              <w:top w:w="0" w:type="dxa"/>
              <w:right w:w="108" w:type="dxa"/>
              <w:bottom w:w="0" w:type="dxa"/>
            </w:tcMar>
            <w:tcW w:w="1417" w:type="dxa"/>
            <w:vAlign w:val="center"/>
            <w:vMerge w:val="continue"/>
            <w:textDirection w:val="lrTb"/>
            <w:noWrap w:val="false"/>
          </w:tcPr>
          <w:p>
            <w:pPr>
              <w:jc w:val="center"/>
              <w:spacing w:before="120" w:after="120" w:line="400" w:lineRule="exact"/>
              <w:rPr>
                <w:rFonts w:ascii="宋体" w:hAnsi="宋体"/>
                <w:sz w:val="24"/>
                <w:szCs w:val="24"/>
              </w:rPr>
            </w:pPr>
            <w:r>
              <w:rPr>
                <w:rFonts w:ascii="宋体" w:hAnsi="宋体"/>
                <w:sz w:val="24"/>
                <w:szCs w:val="24"/>
              </w:rPr>
            </w:r>
            <w:r/>
          </w:p>
        </w:tc>
        <w:tc>
          <w:tcPr>
            <w:tcMar>
              <w:left w:w="108" w:type="dxa"/>
              <w:top w:w="0" w:type="dxa"/>
              <w:right w:w="108" w:type="dxa"/>
              <w:bottom w:w="0" w:type="dxa"/>
            </w:tcMar>
            <w:tcW w:w="8142" w:type="dxa"/>
            <w:textDirection w:val="lrTb"/>
            <w:noWrap w:val="false"/>
          </w:tcPr>
          <w:p>
            <w:pPr>
              <w:spacing w:line="360" w:lineRule="exact"/>
              <w:rPr>
                <w:rFonts w:ascii="宋体" w:hAnsi="宋体"/>
                <w:sz w:val="24"/>
                <w:szCs w:val="24"/>
              </w:rPr>
            </w:pPr>
            <w:r>
              <w:rPr>
                <w:rFonts w:hint="eastAsia" w:ascii="宋体" w:hAnsi="宋体" w:cs="宋体"/>
                <w:sz w:val="24"/>
                <w:szCs w:val="24"/>
              </w:rPr>
              <w:t xml:space="preserve">5、根据招标文件中隧道运维后勤管理要求，投标人提供隧道运维后勤管理方案。</w:t>
            </w:r>
            <w:r>
              <w:rPr>
                <w:rFonts w:hint="eastAsia" w:ascii="宋体" w:hAnsi="宋体"/>
                <w:sz w:val="24"/>
                <w:szCs w:val="24"/>
              </w:rPr>
              <w:t xml:space="preserve">方案须结构清晰，描述准确、全面、完整，内容科学合理且具有针对性。优于招标要求的得2分，符合招标要求的得1分；不符合招标要求、未提供或照抄招标文件的得0分。</w:t>
            </w:r>
            <w:r/>
          </w:p>
        </w:tc>
      </w:tr>
      <w:tr>
        <w:trPr>
          <w:trHeight w:val="817"/>
        </w:trPr>
        <w:tc>
          <w:tcPr>
            <w:shd w:val="clear" w:color="ffffff" w:fill="ffffff"/>
            <w:tcMar>
              <w:left w:w="108" w:type="dxa"/>
              <w:top w:w="0" w:type="dxa"/>
              <w:right w:w="108" w:type="dxa"/>
              <w:bottom w:w="0" w:type="dxa"/>
            </w:tcMar>
            <w:tcW w:w="1417" w:type="dxa"/>
            <w:vAlign w:val="center"/>
            <w:textDirection w:val="lrTb"/>
            <w:noWrap w:val="false"/>
          </w:tcPr>
          <w:p>
            <w:pPr>
              <w:jc w:val="center"/>
              <w:spacing w:before="120" w:after="120" w:line="400" w:lineRule="exact"/>
              <w:rPr>
                <w:rFonts w:ascii="宋体" w:hAnsi="宋体"/>
                <w:sz w:val="24"/>
                <w:szCs w:val="24"/>
              </w:rPr>
            </w:pPr>
            <w:r>
              <w:rPr>
                <w:rFonts w:hint="eastAsia" w:ascii="宋体" w:hAnsi="宋体"/>
                <w:sz w:val="24"/>
                <w:szCs w:val="24"/>
              </w:rPr>
              <w:t xml:space="preserve">土建结构运维方案</w:t>
            </w:r>
            <w:r/>
          </w:p>
          <w:p>
            <w:pPr>
              <w:jc w:val="center"/>
              <w:spacing w:before="120" w:after="120" w:line="400" w:lineRule="exact"/>
              <w:rPr>
                <w:rFonts w:ascii="宋体" w:hAnsi="宋体"/>
                <w:sz w:val="24"/>
                <w:szCs w:val="24"/>
              </w:rPr>
            </w:pPr>
            <w:r>
              <w:rPr>
                <w:rFonts w:hint="eastAsia" w:ascii="宋体" w:hAnsi="宋体"/>
                <w:sz w:val="24"/>
                <w:szCs w:val="24"/>
              </w:rPr>
              <w:t xml:space="preserve">（16分）</w:t>
            </w:r>
            <w:r/>
          </w:p>
        </w:tc>
        <w:tc>
          <w:tcPr>
            <w:shd w:val="clear" w:color="ffffff" w:fill="ffffff"/>
            <w:tcMar>
              <w:left w:w="108" w:type="dxa"/>
              <w:top w:w="0" w:type="dxa"/>
              <w:right w:w="108" w:type="dxa"/>
              <w:bottom w:w="0" w:type="dxa"/>
            </w:tcMar>
            <w:tcW w:w="8142" w:type="dxa"/>
            <w:vAlign w:val="center"/>
            <w:textDirection w:val="lrTb"/>
            <w:noWrap w:val="false"/>
          </w:tcPr>
          <w:p>
            <w:pPr>
              <w:jc w:val="left"/>
              <w:spacing w:before="120" w:after="120" w:line="400" w:lineRule="exact"/>
              <w:rPr>
                <w:rFonts w:ascii="宋体" w:hAnsi="宋体"/>
                <w:sz w:val="24"/>
                <w:szCs w:val="24"/>
              </w:rPr>
            </w:pPr>
            <w:r>
              <w:rPr>
                <w:rFonts w:hint="eastAsia" w:ascii="宋体" w:hAnsi="宋体"/>
                <w:sz w:val="24"/>
                <w:szCs w:val="24"/>
              </w:rPr>
              <w:t xml:space="preserve">1、</w:t>
            </w:r>
            <w:r>
              <w:rPr>
                <w:rFonts w:hint="eastAsia" w:ascii="宋体" w:hAnsi="宋体" w:cs="宋体"/>
                <w:sz w:val="24"/>
                <w:szCs w:val="24"/>
              </w:rPr>
              <w:t xml:space="preserve">根据招标文件中土建结构</w:t>
            </w:r>
            <w:r>
              <w:rPr>
                <w:rFonts w:hint="eastAsia" w:ascii="宋体" w:hAnsi="宋体"/>
                <w:sz w:val="24"/>
                <w:szCs w:val="24"/>
              </w:rPr>
              <w:t xml:space="preserve">日常巡查</w:t>
            </w:r>
            <w:r>
              <w:rPr>
                <w:rFonts w:hint="eastAsia" w:ascii="宋体" w:hAnsi="宋体" w:cs="宋体"/>
                <w:sz w:val="24"/>
                <w:szCs w:val="24"/>
              </w:rPr>
              <w:t xml:space="preserve">要求，投标人提供土建结构</w:t>
            </w:r>
            <w:r>
              <w:rPr>
                <w:rFonts w:hint="eastAsia" w:ascii="宋体" w:hAnsi="宋体"/>
                <w:sz w:val="24"/>
                <w:szCs w:val="24"/>
              </w:rPr>
              <w:t xml:space="preserve">日常巡查</w:t>
            </w:r>
            <w:r>
              <w:rPr>
                <w:rFonts w:hint="eastAsia" w:ascii="宋体" w:hAnsi="宋体" w:cs="宋体"/>
                <w:sz w:val="24"/>
                <w:szCs w:val="24"/>
              </w:rPr>
              <w:t xml:space="preserve">方案。</w:t>
            </w:r>
            <w:r>
              <w:rPr>
                <w:rFonts w:hint="eastAsia" w:ascii="宋体" w:hAnsi="宋体"/>
                <w:sz w:val="24"/>
                <w:szCs w:val="24"/>
              </w:rPr>
              <w:t xml:space="preserve">方案须结构清晰，描述准确、全面、完整，内容科学合理且具有针对性。优于招标要求的得4分，符合招标要求的得2分；不符合招标要求、未提供或照抄招标文件的得0分。</w:t>
            </w:r>
            <w:r/>
          </w:p>
          <w:p>
            <w:pPr>
              <w:jc w:val="left"/>
              <w:spacing w:before="120" w:after="120" w:line="400" w:lineRule="exact"/>
              <w:rPr>
                <w:rFonts w:ascii="宋体" w:hAnsi="宋体"/>
                <w:sz w:val="24"/>
                <w:szCs w:val="24"/>
              </w:rPr>
            </w:pPr>
            <w:r>
              <w:rPr>
                <w:rFonts w:hint="eastAsia" w:ascii="宋体" w:hAnsi="宋体"/>
                <w:sz w:val="24"/>
                <w:szCs w:val="24"/>
              </w:rPr>
              <w:t xml:space="preserve">2、</w:t>
            </w:r>
            <w:r>
              <w:rPr>
                <w:rFonts w:hint="eastAsia" w:ascii="宋体" w:hAnsi="宋体" w:cs="宋体"/>
                <w:sz w:val="24"/>
                <w:szCs w:val="24"/>
              </w:rPr>
              <w:t xml:space="preserve">根据招标文件中土建结构</w:t>
            </w:r>
            <w:r>
              <w:rPr>
                <w:rFonts w:hint="eastAsia" w:ascii="宋体" w:hAnsi="宋体"/>
                <w:sz w:val="24"/>
                <w:szCs w:val="24"/>
              </w:rPr>
              <w:t xml:space="preserve">保洁维护</w:t>
            </w:r>
            <w:r>
              <w:rPr>
                <w:rFonts w:hint="eastAsia" w:ascii="宋体" w:hAnsi="宋体" w:cs="宋体"/>
                <w:sz w:val="24"/>
                <w:szCs w:val="24"/>
              </w:rPr>
              <w:t xml:space="preserve">要求，投标人提供土建结构</w:t>
            </w:r>
            <w:r>
              <w:rPr>
                <w:rFonts w:hint="eastAsia" w:ascii="宋体" w:hAnsi="宋体"/>
                <w:sz w:val="24"/>
                <w:szCs w:val="24"/>
              </w:rPr>
              <w:t xml:space="preserve">清洁维护</w:t>
            </w:r>
            <w:r>
              <w:rPr>
                <w:rFonts w:hint="eastAsia" w:ascii="宋体" w:hAnsi="宋体" w:cs="宋体"/>
                <w:sz w:val="24"/>
                <w:szCs w:val="24"/>
              </w:rPr>
              <w:t xml:space="preserve">方案。</w:t>
            </w:r>
            <w:r>
              <w:rPr>
                <w:rFonts w:hint="eastAsia" w:ascii="宋体" w:hAnsi="宋体"/>
                <w:sz w:val="24"/>
                <w:szCs w:val="24"/>
              </w:rPr>
              <w:t xml:space="preserve">方案须结构清晰，描述准确、全面、完整，内容科学合理且具有针对性。优于招标要求的得4分，符合招标要求的得2分；不符合招标要求、未提供或照抄招标文件的得0分。</w:t>
            </w:r>
            <w:r/>
          </w:p>
          <w:p>
            <w:pPr>
              <w:jc w:val="left"/>
              <w:spacing w:before="120" w:after="120" w:line="400" w:lineRule="exact"/>
              <w:rPr>
                <w:rFonts w:ascii="宋体" w:hAnsi="宋体"/>
                <w:sz w:val="24"/>
                <w:szCs w:val="24"/>
              </w:rPr>
            </w:pPr>
            <w:r>
              <w:rPr>
                <w:rFonts w:hint="eastAsia" w:ascii="宋体" w:hAnsi="宋体"/>
                <w:sz w:val="24"/>
                <w:szCs w:val="24"/>
              </w:rPr>
              <w:t xml:space="preserve">3、</w:t>
            </w:r>
            <w:r>
              <w:rPr>
                <w:rFonts w:hint="eastAsia" w:ascii="宋体" w:hAnsi="宋体" w:cs="宋体"/>
                <w:sz w:val="24"/>
                <w:szCs w:val="24"/>
              </w:rPr>
              <w:t xml:space="preserve">根据招标文件中土建结构</w:t>
            </w:r>
            <w:r>
              <w:rPr>
                <w:rFonts w:hint="eastAsia" w:ascii="宋体" w:hAnsi="宋体"/>
                <w:sz w:val="24"/>
                <w:szCs w:val="24"/>
              </w:rPr>
              <w:t xml:space="preserve">检查</w:t>
            </w:r>
            <w:r>
              <w:rPr>
                <w:rFonts w:hint="eastAsia" w:ascii="宋体" w:hAnsi="宋体" w:cs="宋体"/>
                <w:sz w:val="24"/>
                <w:szCs w:val="24"/>
              </w:rPr>
              <w:t xml:space="preserve">要求，投标人提供土建结构经常性检查、定期检查、应急检查和专项检查方案。</w:t>
            </w:r>
            <w:r>
              <w:rPr>
                <w:rFonts w:hint="eastAsia" w:ascii="宋体" w:hAnsi="宋体"/>
                <w:sz w:val="24"/>
                <w:szCs w:val="24"/>
              </w:rPr>
              <w:t xml:space="preserve">方案须结构清晰，描述准确、全面、完整，内容科学合理且具有针对性。优于招标要求的得4分，符合招标要求的得2分；不符合招标要求、未提供或照抄招标文件的得0分。</w:t>
            </w:r>
            <w:r/>
          </w:p>
          <w:p>
            <w:pPr>
              <w:jc w:val="left"/>
              <w:spacing w:before="120" w:after="120" w:line="400" w:lineRule="exact"/>
              <w:rPr>
                <w:rFonts w:ascii="宋体" w:hAnsi="宋体"/>
                <w:sz w:val="24"/>
                <w:szCs w:val="24"/>
              </w:rPr>
            </w:pPr>
            <w:r>
              <w:rPr>
                <w:rFonts w:hint="eastAsia" w:ascii="宋体" w:hAnsi="宋体"/>
                <w:sz w:val="24"/>
                <w:szCs w:val="24"/>
              </w:rPr>
              <w:t xml:space="preserve">4、</w:t>
            </w:r>
            <w:r>
              <w:rPr>
                <w:rFonts w:hint="eastAsia" w:ascii="宋体" w:hAnsi="宋体" w:cs="宋体"/>
                <w:sz w:val="24"/>
                <w:szCs w:val="24"/>
              </w:rPr>
              <w:t xml:space="preserve">根据招标文件中维修保养及病害处置要求，投标人提供土建结构维修保养及病害处置方案。</w:t>
            </w:r>
            <w:r>
              <w:rPr>
                <w:rFonts w:hint="eastAsia" w:ascii="宋体" w:hAnsi="宋体"/>
                <w:sz w:val="24"/>
                <w:szCs w:val="24"/>
              </w:rPr>
              <w:t xml:space="preserve">方案须结构清晰，描述准确、全面、完整，内容科学合理且具有针对性。优于招标要求的得4分，符合招标要求的得2分；不符合招标要求、未提供或照抄招标文件的得0分。</w:t>
            </w:r>
            <w:r/>
          </w:p>
        </w:tc>
      </w:tr>
      <w:tr>
        <w:trPr>
          <w:trHeight w:val="1260"/>
        </w:trPr>
        <w:tc>
          <w:tcPr>
            <w:shd w:val="clear" w:color="ffffff" w:fill="ffffff"/>
            <w:tcMar>
              <w:left w:w="108" w:type="dxa"/>
              <w:top w:w="0" w:type="dxa"/>
              <w:right w:w="108" w:type="dxa"/>
              <w:bottom w:w="0" w:type="dxa"/>
            </w:tcMar>
            <w:tcW w:w="1417" w:type="dxa"/>
            <w:vAlign w:val="center"/>
            <w:textDirection w:val="lrTb"/>
            <w:noWrap w:val="false"/>
          </w:tcPr>
          <w:p>
            <w:pPr>
              <w:jc w:val="center"/>
              <w:spacing w:before="120" w:after="120" w:line="400" w:lineRule="exact"/>
              <w:rPr>
                <w:rFonts w:ascii="宋体" w:hAnsi="宋体"/>
                <w:sz w:val="24"/>
                <w:szCs w:val="24"/>
              </w:rPr>
            </w:pPr>
            <w:r>
              <w:rPr>
                <w:rFonts w:hint="eastAsia" w:ascii="宋体" w:hAnsi="宋体"/>
                <w:sz w:val="24"/>
                <w:szCs w:val="24"/>
              </w:rPr>
              <w:t xml:space="preserve">机电设施</w:t>
            </w:r>
            <w:r/>
          </w:p>
          <w:p>
            <w:pPr>
              <w:jc w:val="center"/>
              <w:spacing w:before="120" w:after="120" w:line="400" w:lineRule="exact"/>
              <w:rPr>
                <w:rFonts w:ascii="宋体" w:hAnsi="宋体"/>
                <w:sz w:val="24"/>
                <w:szCs w:val="24"/>
              </w:rPr>
            </w:pPr>
            <w:r>
              <w:rPr>
                <w:rFonts w:hint="eastAsia" w:ascii="宋体" w:hAnsi="宋体"/>
                <w:sz w:val="24"/>
                <w:szCs w:val="24"/>
              </w:rPr>
              <w:t xml:space="preserve">运维方案</w:t>
            </w:r>
            <w:r/>
          </w:p>
          <w:p>
            <w:pPr>
              <w:jc w:val="center"/>
              <w:spacing w:before="120" w:after="120" w:line="400" w:lineRule="exact"/>
              <w:rPr>
                <w:rFonts w:ascii="宋体" w:hAnsi="宋体"/>
                <w:sz w:val="24"/>
                <w:szCs w:val="24"/>
              </w:rPr>
            </w:pPr>
            <w:r>
              <w:rPr>
                <w:rFonts w:hint="eastAsia" w:ascii="宋体" w:hAnsi="宋体"/>
                <w:sz w:val="24"/>
                <w:szCs w:val="24"/>
              </w:rPr>
              <w:t xml:space="preserve">（16分）</w:t>
            </w:r>
            <w:r/>
          </w:p>
        </w:tc>
        <w:tc>
          <w:tcPr>
            <w:shd w:val="clear" w:color="ffffff" w:fill="ffffff"/>
            <w:tcMar>
              <w:left w:w="108" w:type="dxa"/>
              <w:top w:w="0" w:type="dxa"/>
              <w:right w:w="108" w:type="dxa"/>
              <w:bottom w:w="0" w:type="dxa"/>
            </w:tcMar>
            <w:tcW w:w="8142" w:type="dxa"/>
            <w:vAlign w:val="center"/>
            <w:textDirection w:val="lrTb"/>
            <w:noWrap w:val="false"/>
          </w:tcPr>
          <w:p>
            <w:pPr>
              <w:jc w:val="left"/>
              <w:spacing w:before="120" w:after="120" w:line="400" w:lineRule="exact"/>
              <w:rPr>
                <w:rFonts w:ascii="宋体" w:hAnsi="宋体"/>
                <w:sz w:val="24"/>
                <w:szCs w:val="24"/>
              </w:rPr>
            </w:pPr>
            <w:r>
              <w:rPr>
                <w:rFonts w:hint="eastAsia" w:ascii="宋体" w:hAnsi="宋体"/>
                <w:sz w:val="24"/>
                <w:szCs w:val="24"/>
              </w:rPr>
              <w:t xml:space="preserve">1、根据招标文件中供配电系统运维要求，投标人提供供配电系统运维方案。方案须结构清晰，描述准确、全面、完整，内容科学合理且具有针对性。优于招标要求的得4分，符合招标要求的得2分；不符合招标要求、未提供或照抄招标文件的得0分。</w:t>
            </w:r>
            <w:r/>
          </w:p>
          <w:p>
            <w:pPr>
              <w:jc w:val="left"/>
              <w:spacing w:before="120" w:after="120" w:line="400" w:lineRule="exact"/>
              <w:rPr>
                <w:rFonts w:ascii="宋体" w:hAnsi="宋体"/>
                <w:sz w:val="24"/>
                <w:szCs w:val="24"/>
              </w:rPr>
            </w:pPr>
            <w:r>
              <w:rPr>
                <w:rFonts w:hint="eastAsia" w:ascii="宋体" w:hAnsi="宋体"/>
                <w:sz w:val="24"/>
                <w:szCs w:val="24"/>
              </w:rPr>
              <w:t xml:space="preserve">2、根据招标文件中照明系统运维要求，投标人提供照明系统运维方案。方案须结构清晰，描述准确、全面、完整，内容科学合理且具有针对性。优于招标要求的得4分，符合招标要求的得2分；不符合招标要求、未提供或照抄招标文件的得0分。</w:t>
            </w:r>
            <w:r/>
          </w:p>
          <w:p>
            <w:pPr>
              <w:jc w:val="left"/>
              <w:spacing w:before="120" w:after="120" w:line="400" w:lineRule="exact"/>
              <w:rPr>
                <w:rFonts w:ascii="宋体" w:hAnsi="宋体"/>
                <w:sz w:val="24"/>
                <w:szCs w:val="24"/>
              </w:rPr>
            </w:pPr>
            <w:r>
              <w:rPr>
                <w:rFonts w:hint="eastAsia" w:ascii="宋体" w:hAnsi="宋体"/>
                <w:sz w:val="24"/>
                <w:szCs w:val="24"/>
              </w:rPr>
              <w:t xml:space="preserve">3、根据招标文件中通风系统运维要求，投标人提供通风系统运维方案。方案须结构清晰，描述准确、全面、完整，内容科学合理且具有针对性。优于招标要求的得4分，符合招标要求的得2分；不符合招标要求、未提供或照抄招标文件的得0分。</w:t>
            </w:r>
            <w:r/>
          </w:p>
          <w:p>
            <w:pPr>
              <w:jc w:val="left"/>
              <w:spacing w:before="120" w:after="120" w:line="400" w:lineRule="exact"/>
              <w:rPr>
                <w:rFonts w:ascii="宋体" w:hAnsi="宋体"/>
                <w:sz w:val="24"/>
                <w:szCs w:val="24"/>
              </w:rPr>
            </w:pPr>
            <w:r>
              <w:rPr>
                <w:rFonts w:hint="eastAsia" w:ascii="宋体" w:hAnsi="宋体"/>
                <w:sz w:val="24"/>
                <w:szCs w:val="24"/>
              </w:rPr>
              <w:t xml:space="preserve">4、根据招标文件中给排水及消防报警系统运维要求，投标人提供给排水、消防救援系统运维方案。方案须结构清晰，描述准确、全面、完整，内容科学合理且具有针对性。优于招标要求的得4分，符合招标要求的得2分；不符合招标要求、未提供或照抄招标文件的得0分。</w:t>
            </w:r>
            <w:r/>
          </w:p>
        </w:tc>
      </w:tr>
      <w:tr>
        <w:trPr>
          <w:trHeight w:val="600"/>
        </w:trPr>
        <w:tc>
          <w:tcPr>
            <w:shd w:val="clear" w:color="ffffff" w:fill="ffffff"/>
            <w:tcMar>
              <w:left w:w="108" w:type="dxa"/>
              <w:top w:w="0" w:type="dxa"/>
              <w:right w:w="108" w:type="dxa"/>
              <w:bottom w:w="0" w:type="dxa"/>
            </w:tcMar>
            <w:tcW w:w="1417" w:type="dxa"/>
            <w:vAlign w:val="center"/>
            <w:vMerge w:val="restart"/>
            <w:textDirection w:val="lrTb"/>
            <w:noWrap w:val="false"/>
          </w:tcPr>
          <w:p>
            <w:pPr>
              <w:jc w:val="center"/>
              <w:spacing w:before="120" w:after="120" w:line="400" w:lineRule="exact"/>
              <w:rPr>
                <w:rFonts w:ascii="宋体" w:hAnsi="宋体"/>
                <w:sz w:val="24"/>
                <w:szCs w:val="24"/>
              </w:rPr>
            </w:pPr>
            <w:r>
              <w:rPr>
                <w:rFonts w:hint="eastAsia" w:ascii="宋体" w:hAnsi="宋体" w:cs="宋体"/>
                <w:sz w:val="24"/>
                <w:szCs w:val="24"/>
              </w:rPr>
              <w:t xml:space="preserve">安全及应急管理（8分）</w:t>
            </w:r>
            <w:r/>
          </w:p>
        </w:tc>
        <w:tc>
          <w:tcPr>
            <w:shd w:val="clear" w:color="ffffff" w:fill="ffffff"/>
            <w:tcMar>
              <w:left w:w="108" w:type="dxa"/>
              <w:top w:w="0" w:type="dxa"/>
              <w:right w:w="108" w:type="dxa"/>
              <w:bottom w:w="0" w:type="dxa"/>
            </w:tcMar>
            <w:tcW w:w="8142" w:type="dxa"/>
            <w:vAlign w:val="center"/>
            <w:textDirection w:val="lrTb"/>
            <w:noWrap w:val="false"/>
          </w:tcPr>
          <w:p>
            <w:pPr>
              <w:jc w:val="left"/>
              <w:spacing w:before="120" w:after="120" w:line="400" w:lineRule="exact"/>
              <w:rPr>
                <w:rFonts w:ascii="宋体" w:hAnsi="宋体"/>
                <w:sz w:val="24"/>
                <w:szCs w:val="24"/>
              </w:rPr>
            </w:pPr>
            <w:r>
              <w:rPr>
                <w:rFonts w:hint="eastAsia" w:ascii="宋体" w:hAnsi="宋体"/>
                <w:sz w:val="24"/>
                <w:szCs w:val="24"/>
              </w:rPr>
              <w:t xml:space="preserve">1、根据招标文件中</w:t>
            </w:r>
            <w:r>
              <w:rPr>
                <w:rFonts w:ascii="宋体" w:hAnsi="宋体"/>
                <w:sz w:val="24"/>
                <w:szCs w:val="24"/>
              </w:rPr>
              <w:t xml:space="preserve">日常</w:t>
            </w:r>
            <w:r>
              <w:rPr>
                <w:rFonts w:hint="eastAsia" w:ascii="宋体" w:hAnsi="宋体"/>
                <w:sz w:val="24"/>
                <w:szCs w:val="24"/>
              </w:rPr>
              <w:t xml:space="preserve">运维</w:t>
            </w:r>
            <w:r>
              <w:rPr>
                <w:rFonts w:ascii="宋体" w:hAnsi="宋体"/>
                <w:sz w:val="24"/>
                <w:szCs w:val="24"/>
              </w:rPr>
              <w:t xml:space="preserve">安全管理</w:t>
            </w:r>
            <w:r>
              <w:rPr>
                <w:rFonts w:hint="eastAsia" w:ascii="宋体" w:hAnsi="宋体"/>
                <w:sz w:val="24"/>
                <w:szCs w:val="24"/>
              </w:rPr>
              <w:t xml:space="preserve">要求，投标人提供</w:t>
            </w:r>
            <w:r>
              <w:rPr>
                <w:rFonts w:ascii="宋体" w:hAnsi="宋体"/>
                <w:sz w:val="24"/>
                <w:szCs w:val="24"/>
              </w:rPr>
              <w:t xml:space="preserve">日常</w:t>
            </w:r>
            <w:r>
              <w:rPr>
                <w:rFonts w:hint="eastAsia" w:ascii="宋体" w:hAnsi="宋体"/>
                <w:sz w:val="24"/>
                <w:szCs w:val="24"/>
              </w:rPr>
              <w:t xml:space="preserve">运维</w:t>
            </w:r>
            <w:r>
              <w:rPr>
                <w:rFonts w:ascii="宋体" w:hAnsi="宋体"/>
                <w:sz w:val="24"/>
                <w:szCs w:val="24"/>
              </w:rPr>
              <w:t xml:space="preserve">安全管理</w:t>
            </w:r>
            <w:r>
              <w:rPr>
                <w:rFonts w:hint="eastAsia" w:ascii="宋体" w:hAnsi="宋体"/>
                <w:sz w:val="24"/>
                <w:szCs w:val="24"/>
              </w:rPr>
              <w:t xml:space="preserve">方案。方案须结构清晰，描述准确、全面、完整，内容科学合理且具有针对性。优于招标要求的得2分，符合招标要求的得1分；不符合招标要求、未提供或照抄招标文件的得0分。</w:t>
            </w:r>
            <w:r/>
          </w:p>
        </w:tc>
      </w:tr>
      <w:tr>
        <w:trPr>
          <w:trHeight w:val="1260"/>
        </w:trPr>
        <w:tc>
          <w:tcPr>
            <w:shd w:val="clear" w:color="ffffff" w:fill="ffffff"/>
            <w:tcMar>
              <w:left w:w="108" w:type="dxa"/>
              <w:top w:w="0" w:type="dxa"/>
              <w:right w:w="108" w:type="dxa"/>
              <w:bottom w:w="0" w:type="dxa"/>
            </w:tcMar>
            <w:tcW w:w="1417" w:type="dxa"/>
            <w:vAlign w:val="center"/>
            <w:vMerge w:val="continue"/>
            <w:textDirection w:val="lrTb"/>
            <w:noWrap w:val="false"/>
          </w:tcPr>
          <w:p>
            <w:pPr>
              <w:jc w:val="center"/>
              <w:spacing w:before="120" w:after="120" w:line="400" w:lineRule="exact"/>
              <w:rPr>
                <w:rFonts w:ascii="宋体" w:hAnsi="宋体" w:cs="宋体"/>
                <w:sz w:val="24"/>
                <w:szCs w:val="24"/>
              </w:rPr>
            </w:pPr>
            <w:r>
              <w:rPr>
                <w:rFonts w:ascii="宋体" w:hAnsi="宋体" w:cs="宋体"/>
                <w:sz w:val="24"/>
                <w:szCs w:val="24"/>
              </w:rPr>
            </w:r>
            <w:r/>
          </w:p>
        </w:tc>
        <w:tc>
          <w:tcPr>
            <w:shd w:val="clear" w:color="ffffff" w:fill="ffffff"/>
            <w:tcMar>
              <w:left w:w="108" w:type="dxa"/>
              <w:top w:w="0" w:type="dxa"/>
              <w:right w:w="108" w:type="dxa"/>
              <w:bottom w:w="0" w:type="dxa"/>
            </w:tcMar>
            <w:tcW w:w="8142" w:type="dxa"/>
            <w:vAlign w:val="center"/>
            <w:textDirection w:val="lrTb"/>
            <w:noWrap w:val="false"/>
          </w:tcPr>
          <w:p>
            <w:pPr>
              <w:jc w:val="left"/>
              <w:spacing w:before="120" w:after="120" w:line="400" w:lineRule="exact"/>
              <w:rPr>
                <w:rFonts w:ascii="宋体" w:hAnsi="宋体"/>
                <w:sz w:val="24"/>
                <w:szCs w:val="24"/>
              </w:rPr>
            </w:pPr>
            <w:r>
              <w:rPr>
                <w:rFonts w:hint="eastAsia" w:ascii="宋体" w:hAnsi="宋体"/>
                <w:sz w:val="24"/>
                <w:szCs w:val="24"/>
              </w:rPr>
              <w:t xml:space="preserve">2、根据招标文件中运维</w:t>
            </w:r>
            <w:r>
              <w:rPr>
                <w:rFonts w:ascii="宋体" w:hAnsi="宋体"/>
                <w:sz w:val="24"/>
                <w:szCs w:val="24"/>
              </w:rPr>
              <w:t xml:space="preserve">作业安全管理</w:t>
            </w:r>
            <w:r>
              <w:rPr>
                <w:rFonts w:hint="eastAsia" w:ascii="宋体" w:hAnsi="宋体"/>
                <w:sz w:val="24"/>
                <w:szCs w:val="24"/>
              </w:rPr>
              <w:t xml:space="preserve">要求，投标人提供运维</w:t>
            </w:r>
            <w:r>
              <w:rPr>
                <w:rFonts w:ascii="宋体" w:hAnsi="宋体"/>
                <w:sz w:val="24"/>
                <w:szCs w:val="24"/>
              </w:rPr>
              <w:t xml:space="preserve">作业安全管理</w:t>
            </w:r>
            <w:r>
              <w:rPr>
                <w:rFonts w:hint="eastAsia" w:ascii="宋体" w:hAnsi="宋体"/>
                <w:sz w:val="24"/>
                <w:szCs w:val="24"/>
              </w:rPr>
              <w:t xml:space="preserve">方案。方案须结构清晰，描述准确、全面、完整，内容科学合理且具有针对性。优于招标要求的得2分，符合招标要求的得1分；不符合招标要求、未提供或照抄招标文件的得0分。</w:t>
            </w:r>
            <w:r/>
          </w:p>
        </w:tc>
      </w:tr>
      <w:tr>
        <w:trPr>
          <w:trHeight w:val="1260"/>
        </w:trPr>
        <w:tc>
          <w:tcPr>
            <w:shd w:val="clear" w:color="ffffff" w:fill="ffffff"/>
            <w:tcMar>
              <w:left w:w="108" w:type="dxa"/>
              <w:top w:w="0" w:type="dxa"/>
              <w:right w:w="108" w:type="dxa"/>
              <w:bottom w:w="0" w:type="dxa"/>
            </w:tcMar>
            <w:tcW w:w="1417" w:type="dxa"/>
            <w:vAlign w:val="center"/>
            <w:vMerge w:val="continue"/>
            <w:textDirection w:val="lrTb"/>
            <w:noWrap w:val="false"/>
          </w:tcPr>
          <w:p>
            <w:pPr>
              <w:jc w:val="center"/>
              <w:spacing w:before="120" w:after="120" w:line="400" w:lineRule="exact"/>
              <w:rPr>
                <w:rFonts w:ascii="宋体" w:hAnsi="宋体" w:cs="宋体"/>
                <w:sz w:val="24"/>
                <w:szCs w:val="24"/>
              </w:rPr>
            </w:pPr>
            <w:r>
              <w:rPr>
                <w:rFonts w:ascii="宋体" w:hAnsi="宋体" w:cs="宋体"/>
                <w:sz w:val="24"/>
                <w:szCs w:val="24"/>
              </w:rPr>
            </w:r>
            <w:r/>
          </w:p>
        </w:tc>
        <w:tc>
          <w:tcPr>
            <w:shd w:val="clear" w:color="ffffff" w:fill="ffffff"/>
            <w:tcMar>
              <w:left w:w="108" w:type="dxa"/>
              <w:top w:w="0" w:type="dxa"/>
              <w:right w:w="108" w:type="dxa"/>
              <w:bottom w:w="0" w:type="dxa"/>
            </w:tcMar>
            <w:tcW w:w="8142" w:type="dxa"/>
            <w:vAlign w:val="center"/>
            <w:textDirection w:val="lrTb"/>
            <w:noWrap w:val="false"/>
          </w:tcPr>
          <w:p>
            <w:pPr>
              <w:jc w:val="left"/>
              <w:spacing w:before="120" w:after="120" w:line="400" w:lineRule="exact"/>
              <w:rPr>
                <w:rFonts w:ascii="宋体" w:hAnsi="宋体"/>
                <w:sz w:val="24"/>
                <w:szCs w:val="24"/>
              </w:rPr>
            </w:pPr>
            <w:r>
              <w:rPr>
                <w:rFonts w:hint="eastAsia" w:ascii="宋体" w:hAnsi="宋体"/>
                <w:sz w:val="24"/>
                <w:szCs w:val="24"/>
              </w:rPr>
              <w:t xml:space="preserve">3、根据招标文件中</w:t>
            </w:r>
            <w:r>
              <w:rPr>
                <w:rFonts w:ascii="宋体" w:hAnsi="宋体"/>
                <w:sz w:val="24"/>
                <w:szCs w:val="24"/>
              </w:rPr>
              <w:t xml:space="preserve">突发事件应急处置</w:t>
            </w:r>
            <w:r>
              <w:rPr>
                <w:rFonts w:hint="eastAsia" w:ascii="宋体" w:hAnsi="宋体"/>
                <w:sz w:val="24"/>
                <w:szCs w:val="24"/>
              </w:rPr>
              <w:t xml:space="preserve">与演练要求，投标人提供</w:t>
            </w:r>
            <w:r>
              <w:rPr>
                <w:rFonts w:ascii="宋体" w:hAnsi="宋体"/>
                <w:sz w:val="24"/>
                <w:szCs w:val="24"/>
              </w:rPr>
              <w:t xml:space="preserve">突发事件应急处置</w:t>
            </w:r>
            <w:r>
              <w:rPr>
                <w:rFonts w:hint="eastAsia" w:ascii="宋体" w:hAnsi="宋体"/>
                <w:sz w:val="24"/>
                <w:szCs w:val="24"/>
              </w:rPr>
              <w:t xml:space="preserve">方案。方案须结构清晰，描述准确、全面、完整，内容科学合理且具有针对性。优于招标要求的得2分，符合招标要求的得1分；不符合招标要求、未提供或照抄招标文件的得0分。</w:t>
            </w:r>
            <w:r/>
          </w:p>
        </w:tc>
      </w:tr>
      <w:tr>
        <w:trPr>
          <w:trHeight w:val="1260"/>
        </w:trPr>
        <w:tc>
          <w:tcPr>
            <w:shd w:val="clear" w:color="ffffff" w:fill="ffffff"/>
            <w:tcMar>
              <w:left w:w="108" w:type="dxa"/>
              <w:top w:w="0" w:type="dxa"/>
              <w:right w:w="108" w:type="dxa"/>
              <w:bottom w:w="0" w:type="dxa"/>
            </w:tcMar>
            <w:tcW w:w="1417" w:type="dxa"/>
            <w:vAlign w:val="center"/>
            <w:vMerge w:val="continue"/>
            <w:textDirection w:val="lrTb"/>
            <w:noWrap w:val="false"/>
          </w:tcPr>
          <w:p>
            <w:pPr>
              <w:jc w:val="center"/>
              <w:spacing w:before="120" w:after="120" w:line="400" w:lineRule="exact"/>
              <w:rPr>
                <w:rFonts w:ascii="宋体" w:hAnsi="宋体" w:cs="宋体"/>
                <w:sz w:val="24"/>
                <w:szCs w:val="24"/>
              </w:rPr>
            </w:pPr>
            <w:r>
              <w:rPr>
                <w:rFonts w:ascii="宋体" w:hAnsi="宋体" w:cs="宋体"/>
                <w:sz w:val="24"/>
                <w:szCs w:val="24"/>
              </w:rPr>
            </w:r>
            <w:r/>
          </w:p>
        </w:tc>
        <w:tc>
          <w:tcPr>
            <w:shd w:val="clear" w:color="ffffff" w:fill="ffffff"/>
            <w:tcMar>
              <w:left w:w="108" w:type="dxa"/>
              <w:top w:w="0" w:type="dxa"/>
              <w:right w:w="108" w:type="dxa"/>
              <w:bottom w:w="0" w:type="dxa"/>
            </w:tcMar>
            <w:tcW w:w="8142" w:type="dxa"/>
            <w:vAlign w:val="center"/>
            <w:textDirection w:val="lrTb"/>
            <w:noWrap w:val="false"/>
          </w:tcPr>
          <w:p>
            <w:pPr>
              <w:jc w:val="left"/>
              <w:spacing w:before="120" w:after="120" w:line="400" w:lineRule="exact"/>
              <w:rPr>
                <w:rFonts w:ascii="宋体" w:hAnsi="宋体"/>
                <w:sz w:val="24"/>
                <w:szCs w:val="24"/>
              </w:rPr>
            </w:pPr>
            <w:r>
              <w:rPr>
                <w:rFonts w:hint="eastAsia" w:ascii="宋体" w:hAnsi="宋体"/>
                <w:sz w:val="24"/>
                <w:szCs w:val="24"/>
              </w:rPr>
              <w:t xml:space="preserve">4、根据招标文件中</w:t>
            </w:r>
            <w:r>
              <w:rPr>
                <w:rFonts w:ascii="宋体" w:hAnsi="宋体"/>
                <w:sz w:val="24"/>
                <w:szCs w:val="24"/>
              </w:rPr>
              <w:t xml:space="preserve">交通组织与安全防护</w:t>
            </w:r>
            <w:r>
              <w:rPr>
                <w:rFonts w:hint="eastAsia" w:ascii="宋体" w:hAnsi="宋体"/>
                <w:sz w:val="24"/>
                <w:szCs w:val="24"/>
              </w:rPr>
              <w:t xml:space="preserve">要求，投标人提供</w:t>
            </w:r>
            <w:r>
              <w:rPr>
                <w:rFonts w:ascii="宋体" w:hAnsi="宋体"/>
                <w:sz w:val="24"/>
                <w:szCs w:val="24"/>
              </w:rPr>
              <w:t xml:space="preserve">交通组织与安全防护</w:t>
            </w:r>
            <w:r>
              <w:rPr>
                <w:rFonts w:hint="eastAsia" w:ascii="宋体" w:hAnsi="宋体"/>
                <w:sz w:val="24"/>
                <w:szCs w:val="24"/>
              </w:rPr>
              <w:t xml:space="preserve">方案。方案须结构清晰，描述准确、全面、完整，内容科学合理且具有针对性。优于招标要求的得2分，符合招标要求的得1分；不符合招标要求、未提供或照抄招标文件的得0分。</w:t>
            </w:r>
            <w:r/>
          </w:p>
        </w:tc>
      </w:tr>
      <w:tr>
        <w:trPr>
          <w:trHeight w:val="1260"/>
        </w:trPr>
        <w:tc>
          <w:tcPr>
            <w:shd w:val="clear" w:color="ffffff" w:fill="ffffff"/>
            <w:tcMar>
              <w:left w:w="108" w:type="dxa"/>
              <w:top w:w="0" w:type="dxa"/>
              <w:right w:w="108" w:type="dxa"/>
              <w:bottom w:w="0" w:type="dxa"/>
            </w:tcMar>
            <w:tcW w:w="1417" w:type="dxa"/>
            <w:vAlign w:val="center"/>
            <w:textDirection w:val="lrTb"/>
            <w:noWrap w:val="false"/>
          </w:tcPr>
          <w:p>
            <w:pPr>
              <w:jc w:val="center"/>
              <w:spacing w:before="120" w:after="120" w:line="400" w:lineRule="exact"/>
              <w:rPr>
                <w:rFonts w:ascii="宋体" w:hAnsi="宋体" w:cs="宋体"/>
                <w:sz w:val="24"/>
                <w:szCs w:val="24"/>
              </w:rPr>
            </w:pPr>
            <w:r>
              <w:rPr>
                <w:rFonts w:hint="eastAsia" w:ascii="宋体" w:hAnsi="宋体"/>
                <w:sz w:val="24"/>
                <w:szCs w:val="24"/>
              </w:rPr>
              <w:t xml:space="preserve">合理化建议（4分）</w:t>
            </w:r>
            <w:r/>
          </w:p>
        </w:tc>
        <w:tc>
          <w:tcPr>
            <w:shd w:val="clear" w:color="ffffff" w:fill="ffffff"/>
            <w:tcMar>
              <w:left w:w="108" w:type="dxa"/>
              <w:top w:w="0" w:type="dxa"/>
              <w:right w:w="108" w:type="dxa"/>
              <w:bottom w:w="0" w:type="dxa"/>
            </w:tcMar>
            <w:tcW w:w="8142" w:type="dxa"/>
            <w:vAlign w:val="center"/>
            <w:textDirection w:val="lrTb"/>
            <w:noWrap w:val="false"/>
          </w:tcPr>
          <w:p>
            <w:pPr>
              <w:jc w:val="left"/>
              <w:spacing w:before="120" w:after="120" w:line="400" w:lineRule="exact"/>
              <w:rPr>
                <w:rFonts w:ascii="宋体" w:hAnsi="宋体"/>
                <w:sz w:val="24"/>
                <w:szCs w:val="24"/>
              </w:rPr>
            </w:pPr>
            <w:r>
              <w:rPr>
                <w:rFonts w:hint="eastAsia" w:ascii="宋体" w:hAnsi="宋体"/>
                <w:sz w:val="24"/>
                <w:szCs w:val="24"/>
              </w:rPr>
              <w:t xml:space="preserve">“四新”合理化建议、节能减排、绿色环保等隧道全生命周期养护创新技术方案。每提供一例建议及方案得1分，满分4分。</w:t>
            </w:r>
            <w:r/>
          </w:p>
          <w:p>
            <w:pPr>
              <w:jc w:val="left"/>
              <w:spacing w:before="120" w:after="120" w:line="400" w:lineRule="exact"/>
              <w:rPr>
                <w:rFonts w:ascii="宋体" w:hAnsi="宋体"/>
                <w:sz w:val="24"/>
                <w:szCs w:val="24"/>
              </w:rPr>
            </w:pPr>
            <w:r>
              <w:rPr>
                <w:rFonts w:hint="eastAsia" w:ascii="宋体" w:hAnsi="宋体"/>
                <w:sz w:val="24"/>
                <w:szCs w:val="24"/>
              </w:rPr>
              <w:t xml:space="preserve">注：建议及方案必须与本项目运维内容紧密相关，且具备科学性、合理性、可行性，不符合要求的不得分。</w:t>
            </w:r>
            <w:r/>
          </w:p>
        </w:tc>
      </w:tr>
      <w:tr>
        <w:trPr>
          <w:trHeight w:val="1260"/>
        </w:trPr>
        <w:tc>
          <w:tcPr>
            <w:shd w:val="clear" w:color="ffffff" w:fill="ffffff"/>
            <w:tcMar>
              <w:left w:w="108" w:type="dxa"/>
              <w:top w:w="0" w:type="dxa"/>
              <w:right w:w="108" w:type="dxa"/>
              <w:bottom w:w="0" w:type="dxa"/>
            </w:tcMar>
            <w:tcW w:w="1417" w:type="dxa"/>
            <w:vAlign w:val="center"/>
            <w:textDirection w:val="lrTb"/>
            <w:noWrap w:val="false"/>
          </w:tcPr>
          <w:p>
            <w:pPr>
              <w:jc w:val="center"/>
              <w:spacing w:before="120" w:after="120" w:line="400" w:lineRule="exact"/>
              <w:rPr>
                <w:rFonts w:ascii="宋体" w:hAnsi="宋体"/>
                <w:sz w:val="24"/>
                <w:szCs w:val="24"/>
              </w:rPr>
            </w:pPr>
            <w:r>
              <w:rPr>
                <w:rFonts w:hint="eastAsia" w:ascii="宋体" w:hAnsi="宋体"/>
                <w:sz w:val="24"/>
                <w:szCs w:val="24"/>
              </w:rPr>
              <w:t xml:space="preserve">项目团队（16分）</w:t>
            </w:r>
            <w:r/>
          </w:p>
        </w:tc>
        <w:tc>
          <w:tcPr>
            <w:shd w:val="clear" w:color="ffffff" w:fill="ffffff"/>
            <w:tcMar>
              <w:left w:w="108" w:type="dxa"/>
              <w:top w:w="0" w:type="dxa"/>
              <w:right w:w="108" w:type="dxa"/>
              <w:bottom w:w="0" w:type="dxa"/>
            </w:tcMar>
            <w:tcW w:w="8142" w:type="dxa"/>
            <w:vAlign w:val="center"/>
            <w:textDirection w:val="lrTb"/>
            <w:noWrap w:val="false"/>
          </w:tcPr>
          <w:p>
            <w:pPr>
              <w:jc w:val="left"/>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1、项目经理：具有一级建造师证书（公路或机电）得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分，满分</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w:t>
            </w:r>
            <w:r/>
          </w:p>
          <w:p>
            <w:pPr>
              <w:jc w:val="left"/>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2、技术负责人：具有一级建造师证书（公路或机电）得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分，满分</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w:t>
            </w:r>
            <w:r/>
          </w:p>
          <w:p>
            <w:pPr>
              <w:jc w:val="left"/>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3、土建工程师：具有二级</w:t>
            </w:r>
            <w:r>
              <w:rPr>
                <w:rFonts w:hint="eastAsia" w:ascii="宋体" w:hAnsi="宋体"/>
                <w:color w:val="auto"/>
                <w:sz w:val="24"/>
                <w:szCs w:val="24"/>
                <w:highlight w:val="none"/>
                <w:lang w:eastAsia="zh-CN"/>
              </w:rPr>
              <w:t xml:space="preserve">及以上</w:t>
            </w:r>
            <w:r>
              <w:rPr>
                <w:rFonts w:hint="eastAsia" w:ascii="宋体" w:hAnsi="宋体"/>
                <w:color w:val="auto"/>
                <w:sz w:val="24"/>
                <w:szCs w:val="24"/>
                <w:highlight w:val="none"/>
              </w:rPr>
              <w:t xml:space="preserve">建造师证书（公路）每一人得</w:t>
            </w:r>
            <w:r>
              <w:rPr>
                <w:rFonts w:hint="eastAsia" w:ascii="宋体" w:hAnsi="宋体"/>
                <w:color w:val="auto"/>
                <w:sz w:val="24"/>
                <w:szCs w:val="24"/>
                <w:highlight w:val="none"/>
                <w:lang w:val="en-US" w:eastAsia="zh-CN"/>
              </w:rPr>
              <w:t xml:space="preserve">2.5</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满分</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jc w:val="left"/>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4、机电工程师：具有二级</w:t>
            </w:r>
            <w:r>
              <w:rPr>
                <w:rFonts w:hint="eastAsia" w:ascii="宋体" w:hAnsi="宋体"/>
                <w:color w:val="auto"/>
                <w:sz w:val="24"/>
                <w:szCs w:val="24"/>
                <w:highlight w:val="none"/>
                <w:lang w:eastAsia="zh-CN"/>
              </w:rPr>
              <w:t xml:space="preserve">及以上</w:t>
            </w:r>
            <w:r>
              <w:rPr>
                <w:rFonts w:hint="eastAsia" w:ascii="宋体" w:hAnsi="宋体"/>
                <w:color w:val="auto"/>
                <w:sz w:val="24"/>
                <w:szCs w:val="24"/>
                <w:highlight w:val="none"/>
              </w:rPr>
              <w:t xml:space="preserve">建造师证书（机电）每一人得</w:t>
            </w:r>
            <w:r>
              <w:rPr>
                <w:rFonts w:hint="eastAsia" w:ascii="宋体" w:hAnsi="宋体"/>
                <w:color w:val="auto"/>
                <w:sz w:val="24"/>
                <w:szCs w:val="24"/>
                <w:highlight w:val="none"/>
                <w:lang w:val="en-US" w:eastAsia="zh-CN"/>
              </w:rPr>
              <w:t xml:space="preserve">2.5</w:t>
            </w:r>
            <w:r>
              <w:rPr>
                <w:rFonts w:hint="eastAsia" w:ascii="宋体" w:hAnsi="宋体"/>
                <w:color w:val="auto"/>
                <w:sz w:val="24"/>
                <w:szCs w:val="24"/>
                <w:highlight w:val="none"/>
              </w:rPr>
              <w:t xml:space="preserve">分，满分</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jc w:val="left"/>
              <w:spacing w:before="120" w:after="120"/>
              <w:rPr>
                <w:rFonts w:ascii="宋体" w:hAnsi="宋体"/>
                <w:sz w:val="24"/>
                <w:szCs w:val="24"/>
              </w:rPr>
            </w:pPr>
            <w:r>
              <w:rPr>
                <w:rFonts w:hint="eastAsia" w:ascii="宋体" w:hAnsi="宋体"/>
                <w:sz w:val="24"/>
                <w:szCs w:val="24"/>
              </w:rPr>
              <w:t xml:space="preserve">注：上述1-</w:t>
            </w:r>
            <w:r>
              <w:rPr>
                <w:rFonts w:hint="eastAsia" w:ascii="宋体" w:hAnsi="宋体"/>
                <w:sz w:val="24"/>
                <w:szCs w:val="24"/>
                <w:lang w:val="en-US" w:eastAsia="zh-CN"/>
              </w:rPr>
              <w:t xml:space="preserve">4</w:t>
            </w:r>
            <w:r>
              <w:rPr>
                <w:rFonts w:hint="eastAsia" w:ascii="宋体" w:hAnsi="宋体"/>
                <w:sz w:val="24"/>
                <w:szCs w:val="24"/>
              </w:rPr>
              <w:t xml:space="preserve">项人员不得重复，需提供相关证书及投标人为其缴纳的近三个月内任意一个月的社保缴纳证明原件扫描上传，未提供不得分。</w:t>
            </w:r>
            <w:r/>
          </w:p>
        </w:tc>
      </w:tr>
      <w:tr>
        <w:trPr>
          <w:trHeight w:val="2791"/>
        </w:trPr>
        <w:tc>
          <w:tcPr>
            <w:shd w:val="clear" w:color="ffffff" w:fill="ffffff"/>
            <w:tcMar>
              <w:left w:w="108" w:type="dxa"/>
              <w:top w:w="0" w:type="dxa"/>
              <w:right w:w="108" w:type="dxa"/>
              <w:bottom w:w="0" w:type="dxa"/>
            </w:tcMar>
            <w:tcW w:w="1417" w:type="dxa"/>
            <w:vAlign w:val="center"/>
            <w:textDirection w:val="lrTb"/>
            <w:noWrap w:val="false"/>
          </w:tcPr>
          <w:p>
            <w:pPr>
              <w:jc w:val="center"/>
              <w:spacing w:before="120" w:after="120" w:line="400" w:lineRule="exact"/>
              <w:rPr>
                <w:rFonts w:ascii="宋体" w:hAnsi="宋体"/>
                <w:sz w:val="24"/>
                <w:szCs w:val="24"/>
              </w:rPr>
            </w:pPr>
            <w:r>
              <w:rPr>
                <w:rFonts w:hint="eastAsia" w:ascii="宋体" w:hAnsi="宋体"/>
                <w:sz w:val="24"/>
                <w:szCs w:val="24"/>
              </w:rPr>
              <w:t xml:space="preserve">企业综合实力</w:t>
            </w:r>
            <w:r/>
          </w:p>
          <w:p>
            <w:pPr>
              <w:jc w:val="center"/>
              <w:spacing w:before="120" w:after="120" w:line="400" w:lineRule="exact"/>
              <w:rPr>
                <w:rFonts w:ascii="宋体" w:hAnsi="宋体"/>
                <w:sz w:val="24"/>
                <w:szCs w:val="24"/>
              </w:rPr>
            </w:pPr>
            <w:r>
              <w:rPr>
                <w:rFonts w:hint="eastAsia" w:ascii="宋体" w:hAnsi="宋体"/>
                <w:sz w:val="24"/>
                <w:szCs w:val="24"/>
              </w:rPr>
              <w:t xml:space="preserve">（20分）</w:t>
            </w:r>
            <w:r/>
          </w:p>
        </w:tc>
        <w:tc>
          <w:tcPr>
            <w:shd w:val="clear" w:color="ffffff" w:fill="ffffff"/>
            <w:tcMar>
              <w:left w:w="108" w:type="dxa"/>
              <w:top w:w="0" w:type="dxa"/>
              <w:right w:w="108" w:type="dxa"/>
              <w:bottom w:w="0" w:type="dxa"/>
            </w:tcMar>
            <w:tcW w:w="8142" w:type="dxa"/>
            <w:vAlign w:val="center"/>
            <w:textDirection w:val="lrTb"/>
            <w:noWrap w:val="false"/>
          </w:tcPr>
          <w:p>
            <w:pPr>
              <w:jc w:val="left"/>
              <w:spacing w:before="120" w:after="120"/>
              <w:rPr>
                <w:rFonts w:hint="eastAsia" w:ascii="宋体" w:hAnsi="宋体"/>
                <w:sz w:val="24"/>
                <w:szCs w:val="24"/>
              </w:rPr>
            </w:pPr>
            <w:r>
              <w:rPr>
                <w:rFonts w:hint="eastAsia" w:ascii="宋体" w:hAnsi="宋体"/>
                <w:sz w:val="24"/>
                <w:szCs w:val="24"/>
              </w:rPr>
            </w:r>
            <w:r/>
          </w:p>
          <w:p>
            <w:pPr>
              <w:jc w:val="left"/>
              <w:spacing w:before="120" w:after="120"/>
              <w:rPr>
                <w:rFonts w:ascii="宋体" w:hAnsi="宋体"/>
                <w:sz w:val="24"/>
                <w:szCs w:val="24"/>
              </w:rPr>
            </w:pPr>
            <w:r>
              <w:rPr>
                <w:rFonts w:hint="eastAsia" w:ascii="宋体" w:hAnsi="宋体"/>
                <w:sz w:val="24"/>
                <w:szCs w:val="24"/>
              </w:rPr>
              <w:t xml:space="preserve">1、</w:t>
            </w:r>
            <w:r>
              <w:rPr>
                <w:rFonts w:ascii="宋体" w:hAnsi="宋体"/>
                <w:sz w:val="24"/>
                <w:szCs w:val="24"/>
                <w:lang w:eastAsia="zh-CN"/>
              </w:rPr>
              <w:t xml:space="preserve">投标人具备</w:t>
            </w:r>
            <w:r>
              <w:rPr>
                <w:rFonts w:hint="eastAsia" w:ascii="宋体" w:hAnsi="宋体"/>
                <w:sz w:val="24"/>
                <w:szCs w:val="24"/>
                <w:lang w:val="en-US" w:eastAsia="zh-CN"/>
              </w:rPr>
              <w:t xml:space="preserve">公路工程总承包二级及以上资质或</w:t>
            </w:r>
            <w:r>
              <w:rPr>
                <w:rFonts w:ascii="宋体" w:hAnsi="宋体"/>
                <w:sz w:val="24"/>
                <w:szCs w:val="24"/>
                <w:lang w:eastAsia="zh-CN"/>
              </w:rPr>
              <w:t xml:space="preserve">隧道工程专业承包</w:t>
            </w:r>
            <w:r>
              <w:rPr>
                <w:rFonts w:hint="eastAsia" w:ascii="宋体" w:hAnsi="宋体"/>
                <w:sz w:val="24"/>
                <w:szCs w:val="24"/>
                <w:lang w:val="en-US" w:eastAsia="zh-CN"/>
              </w:rPr>
              <w:t xml:space="preserve">二</w:t>
            </w:r>
            <w:r>
              <w:rPr>
                <w:rFonts w:ascii="宋体" w:hAnsi="宋体"/>
                <w:sz w:val="24"/>
                <w:szCs w:val="24"/>
                <w:lang w:eastAsia="zh-CN"/>
              </w:rPr>
              <w:t xml:space="preserve">级</w:t>
            </w:r>
            <w:r>
              <w:rPr>
                <w:rFonts w:hint="eastAsia" w:ascii="宋体" w:hAnsi="宋体"/>
                <w:sz w:val="24"/>
                <w:szCs w:val="24"/>
                <w:lang w:val="en-US" w:eastAsia="zh-CN"/>
              </w:rPr>
              <w:t xml:space="preserve">及以上</w:t>
            </w:r>
            <w:r>
              <w:rPr>
                <w:rFonts w:ascii="宋体" w:hAnsi="宋体"/>
                <w:sz w:val="24"/>
                <w:szCs w:val="24"/>
                <w:lang w:eastAsia="zh-CN"/>
              </w:rPr>
              <w:t xml:space="preserve">资质</w:t>
            </w:r>
            <w:r>
              <w:rPr>
                <w:rFonts w:hint="eastAsia" w:ascii="宋体" w:hAnsi="宋体"/>
                <w:sz w:val="24"/>
                <w:szCs w:val="24"/>
                <w:lang w:eastAsia="zh-CN"/>
              </w:rPr>
              <w:t xml:space="preserve">得</w:t>
            </w:r>
            <w:r>
              <w:rPr>
                <w:rFonts w:hint="eastAsia" w:ascii="宋体" w:hAnsi="宋体"/>
                <w:sz w:val="24"/>
                <w:szCs w:val="24"/>
                <w:lang w:val="en-US" w:eastAsia="zh-CN"/>
              </w:rPr>
              <w:t xml:space="preserve">4</w:t>
            </w:r>
            <w:r>
              <w:rPr>
                <w:rFonts w:hint="eastAsia" w:ascii="宋体" w:hAnsi="宋体"/>
                <w:sz w:val="24"/>
                <w:szCs w:val="24"/>
                <w:lang w:eastAsia="zh-CN"/>
              </w:rPr>
              <w:t xml:space="preserve">分。</w:t>
            </w:r>
            <w:r>
              <w:rPr>
                <w:rFonts w:ascii="宋体" w:hAnsi="宋体"/>
                <w:sz w:val="24"/>
                <w:szCs w:val="24"/>
                <w:lang w:eastAsia="zh-CN"/>
              </w:rPr>
              <w:t xml:space="preserve">(</w:t>
            </w:r>
            <w:r>
              <w:rPr>
                <w:rFonts w:hint="eastAsia" w:ascii="宋体" w:hAnsi="宋体"/>
                <w:sz w:val="24"/>
                <w:szCs w:val="24"/>
                <w:lang w:eastAsia="zh-CN"/>
              </w:rPr>
              <w:t xml:space="preserve">资质证书</w:t>
            </w:r>
            <w:r>
              <w:rPr>
                <w:rFonts w:ascii="宋体" w:hAnsi="宋体"/>
                <w:sz w:val="24"/>
                <w:szCs w:val="24"/>
                <w:lang w:eastAsia="zh-CN"/>
              </w:rPr>
              <w:t xml:space="preserve">原件扫描上传)</w:t>
            </w:r>
            <w:r/>
          </w:p>
          <w:p>
            <w:pPr>
              <w:jc w:val="left"/>
              <w:spacing w:before="120" w:after="120"/>
              <w:rPr>
                <w:rFonts w:ascii="宋体" w:hAnsi="宋体"/>
                <w:sz w:val="24"/>
                <w:szCs w:val="24"/>
              </w:rPr>
            </w:pPr>
            <w:r>
              <w:rPr>
                <w:rFonts w:ascii="宋体" w:hAnsi="宋体"/>
                <w:sz w:val="24"/>
                <w:szCs w:val="24"/>
              </w:rPr>
            </w:r>
            <w:r/>
          </w:p>
          <w:p>
            <w:pPr>
              <w:jc w:val="left"/>
              <w:spacing w:before="120" w:after="120"/>
              <w:rPr>
                <w:rFonts w:ascii="宋体" w:hAnsi="宋体"/>
                <w:sz w:val="24"/>
                <w:szCs w:val="24"/>
              </w:rPr>
            </w:pPr>
            <w:r>
              <w:rPr>
                <w:rFonts w:hint="eastAsia" w:ascii="宋体" w:hAnsi="宋体"/>
                <w:sz w:val="24"/>
                <w:szCs w:val="24"/>
              </w:rPr>
              <w:t xml:space="preserve">2、</w:t>
            </w:r>
            <w:r>
              <w:rPr>
                <w:rFonts w:ascii="宋体" w:hAnsi="宋体"/>
                <w:sz w:val="24"/>
                <w:szCs w:val="24"/>
              </w:rPr>
              <w:t xml:space="preserve">投标人具备</w:t>
            </w:r>
            <w:r>
              <w:rPr>
                <w:rFonts w:ascii="宋体" w:hAnsi="宋体"/>
                <w:sz w:val="24"/>
                <w:szCs w:val="24"/>
                <w:lang w:eastAsia="zh-CN"/>
              </w:rPr>
              <w:t xml:space="preserve">机电工程施工总承包</w:t>
            </w:r>
            <w:r>
              <w:rPr>
                <w:rFonts w:hint="eastAsia" w:ascii="宋体" w:hAnsi="宋体"/>
                <w:sz w:val="24"/>
                <w:szCs w:val="24"/>
                <w:lang w:eastAsia="zh-CN"/>
              </w:rPr>
              <w:t xml:space="preserve">三级及以上</w:t>
            </w:r>
            <w:r>
              <w:rPr>
                <w:rFonts w:ascii="宋体" w:hAnsi="宋体"/>
                <w:sz w:val="24"/>
                <w:szCs w:val="24"/>
              </w:rPr>
              <w:t xml:space="preserve">资质或公路交通工程（</w:t>
            </w:r>
            <w:r>
              <w:rPr>
                <w:rFonts w:ascii="SEAVJU+SimSun-Identity-H" w:hAnsi="SEAVJU+SimSun-Identity-H" w:cs="SEAVJU+SimSun-Identity-H"/>
                <w:color w:val="auto"/>
                <w:sz w:val="21"/>
                <w:highlight w:val="none"/>
                <w:lang w:eastAsia="zh-CN"/>
              </w:rPr>
              <w:t xml:space="preserve">公路机电工程分项</w:t>
            </w:r>
            <w:r>
              <w:rPr>
                <w:rFonts w:ascii="宋体" w:hAnsi="宋体"/>
                <w:sz w:val="24"/>
                <w:szCs w:val="24"/>
              </w:rPr>
              <w:t xml:space="preserve">）专业承包二级</w:t>
            </w:r>
            <w:r>
              <w:rPr>
                <w:rFonts w:hint="eastAsia" w:ascii="宋体" w:hAnsi="宋体"/>
                <w:sz w:val="24"/>
                <w:szCs w:val="24"/>
                <w:lang w:eastAsia="zh-CN"/>
              </w:rPr>
              <w:t xml:space="preserve">及以上</w:t>
            </w:r>
            <w:r>
              <w:rPr>
                <w:rFonts w:ascii="宋体" w:hAnsi="宋体"/>
                <w:sz w:val="24"/>
                <w:szCs w:val="24"/>
              </w:rPr>
              <w:t xml:space="preserve">资质</w:t>
            </w:r>
            <w:r>
              <w:rPr>
                <w:rFonts w:hint="eastAsia" w:ascii="宋体" w:hAnsi="宋体"/>
                <w:sz w:val="24"/>
                <w:szCs w:val="24"/>
              </w:rPr>
              <w:t xml:space="preserve">得</w:t>
            </w:r>
            <w:r>
              <w:rPr>
                <w:rFonts w:hint="eastAsia" w:ascii="宋体" w:hAnsi="宋体"/>
                <w:sz w:val="24"/>
                <w:szCs w:val="24"/>
                <w:lang w:val="en-US" w:eastAsia="zh-CN"/>
              </w:rPr>
              <w:t xml:space="preserve">4分</w:t>
            </w:r>
            <w:r>
              <w:rPr>
                <w:rFonts w:hint="eastAsia" w:ascii="宋体" w:hAnsi="宋体"/>
                <w:sz w:val="24"/>
                <w:szCs w:val="24"/>
                <w:lang w:eastAsia="zh-CN"/>
              </w:rPr>
              <w:t xml:space="preserve">。</w:t>
            </w:r>
            <w:r>
              <w:rPr>
                <w:rFonts w:ascii="宋体" w:hAnsi="宋体"/>
                <w:sz w:val="24"/>
                <w:szCs w:val="24"/>
                <w:lang w:eastAsia="zh-CN"/>
              </w:rPr>
              <w:t xml:space="preserve">(</w:t>
            </w:r>
            <w:r>
              <w:rPr>
                <w:rFonts w:hint="eastAsia" w:ascii="宋体" w:hAnsi="宋体"/>
                <w:sz w:val="24"/>
                <w:szCs w:val="24"/>
                <w:lang w:eastAsia="zh-CN"/>
              </w:rPr>
              <w:t xml:space="preserve">资</w:t>
            </w:r>
            <w:r>
              <w:rPr>
                <w:rFonts w:hint="eastAsia" w:ascii="宋体" w:hAnsi="宋体"/>
                <w:sz w:val="24"/>
                <w:szCs w:val="24"/>
              </w:rPr>
              <w:t xml:space="preserve">质证书</w:t>
            </w:r>
            <w:r>
              <w:rPr>
                <w:rFonts w:ascii="宋体" w:hAnsi="宋体"/>
                <w:sz w:val="24"/>
                <w:szCs w:val="24"/>
              </w:rPr>
              <w:t xml:space="preserve">原件扫描上传)</w:t>
            </w:r>
            <w:r/>
          </w:p>
          <w:p>
            <w:pPr>
              <w:jc w:val="left"/>
              <w:spacing w:before="120" w:after="120"/>
              <w:rPr>
                <w:rFonts w:ascii="宋体" w:hAnsi="宋体"/>
                <w:sz w:val="24"/>
                <w:szCs w:val="24"/>
              </w:rPr>
            </w:pPr>
            <w:r>
              <w:rPr>
                <w:rFonts w:ascii="宋体" w:hAnsi="宋体"/>
                <w:sz w:val="24"/>
                <w:szCs w:val="24"/>
              </w:rPr>
            </w:r>
            <w:r/>
          </w:p>
          <w:p>
            <w:pPr>
              <w:jc w:val="left"/>
              <w:spacing w:before="120" w:after="120"/>
              <w:rPr>
                <w:rFonts w:hint="eastAsia" w:ascii="宋体" w:hAnsi="宋体"/>
                <w:sz w:val="24"/>
                <w:szCs w:val="24"/>
              </w:rPr>
            </w:pPr>
            <w:r>
              <w:rPr>
                <w:rFonts w:hint="eastAsia" w:ascii="宋体" w:hAnsi="宋体"/>
                <w:sz w:val="24"/>
                <w:szCs w:val="24"/>
              </w:rPr>
              <w:t xml:space="preserve">3、 投标人承担过与本项目领域相关的工法、技术规范、国家标准（GB）、行业标准（如JGJ、CJ、JG等）、地方标准（DB）编制工作的，每提供一项符合要求的成果得2分，</w:t>
            </w:r>
            <w:r>
              <w:rPr>
                <w:rFonts w:hint="eastAsia" w:ascii="宋体" w:hAnsi="宋体"/>
                <w:sz w:val="24"/>
                <w:szCs w:val="24"/>
                <w:lang w:eastAsia="zh-CN"/>
              </w:rPr>
              <w:t xml:space="preserve">满分</w:t>
            </w:r>
            <w:r>
              <w:rPr>
                <w:rFonts w:hint="eastAsia" w:ascii="宋体" w:hAnsi="宋体"/>
                <w:sz w:val="24"/>
                <w:szCs w:val="24"/>
                <w:lang w:val="en-US" w:eastAsia="zh-CN"/>
              </w:rPr>
              <w:t xml:space="preserve">12</w:t>
            </w:r>
            <w:r>
              <w:rPr>
                <w:rFonts w:hint="eastAsia" w:ascii="宋体" w:hAnsi="宋体"/>
                <w:sz w:val="24"/>
                <w:szCs w:val="24"/>
              </w:rPr>
              <w:t xml:space="preserve">分，同一工法、技术规范或标准不重复计分。</w:t>
            </w:r>
            <w:r/>
          </w:p>
          <w:p>
            <w:pPr>
              <w:jc w:val="left"/>
              <w:spacing w:before="120" w:after="120"/>
              <w:rPr>
                <w:rFonts w:hint="eastAsia" w:ascii="宋体" w:hAnsi="宋体"/>
                <w:sz w:val="24"/>
                <w:szCs w:val="24"/>
              </w:rPr>
            </w:pPr>
            <w:r>
              <w:rPr>
                <w:rFonts w:hint="eastAsia" w:ascii="宋体" w:hAnsi="宋体"/>
                <w:sz w:val="24"/>
                <w:szCs w:val="24"/>
              </w:rPr>
              <w:t xml:space="preserve">投标人须提供以下证明材料之一并加盖公章，否则不予认可：</w:t>
            </w:r>
            <w:r/>
          </w:p>
          <w:p>
            <w:pPr>
              <w:jc w:val="left"/>
              <w:spacing w:before="120" w:after="120"/>
              <w:rPr>
                <w:rFonts w:hint="eastAsia" w:ascii="宋体" w:hAnsi="宋体"/>
                <w:sz w:val="24"/>
                <w:szCs w:val="24"/>
              </w:rPr>
            </w:pPr>
            <w:r>
              <w:rPr>
                <w:rFonts w:hint="eastAsia" w:ascii="宋体" w:hAnsi="宋体"/>
                <w:sz w:val="24"/>
                <w:szCs w:val="24"/>
              </w:rPr>
              <w:t xml:space="preserve">（1）工法证书及批准文件；</w:t>
            </w:r>
            <w:r/>
          </w:p>
          <w:p>
            <w:pPr>
              <w:jc w:val="left"/>
              <w:spacing w:before="120" w:after="120"/>
              <w:rPr>
                <w:rFonts w:hint="eastAsia" w:ascii="宋体" w:hAnsi="宋体"/>
                <w:sz w:val="24"/>
                <w:szCs w:val="24"/>
              </w:rPr>
            </w:pPr>
            <w:r>
              <w:rPr>
                <w:rFonts w:hint="eastAsia" w:ascii="宋体" w:hAnsi="宋体"/>
                <w:sz w:val="24"/>
                <w:szCs w:val="24"/>
              </w:rPr>
              <w:t xml:space="preserve">（2）技术规范/标准发布公告及文本封面、参编单位页；</w:t>
            </w:r>
            <w:r/>
          </w:p>
          <w:p>
            <w:pPr>
              <w:jc w:val="left"/>
              <w:spacing w:before="120" w:after="120"/>
              <w:rPr>
                <w:rFonts w:hint="eastAsia" w:ascii="宋体" w:hAnsi="宋体"/>
                <w:sz w:val="24"/>
                <w:szCs w:val="24"/>
                <w:lang w:val="en-US" w:eastAsia="zh-CN"/>
              </w:rPr>
            </w:pPr>
            <w:r>
              <w:rPr>
                <w:rFonts w:hint="eastAsia" w:ascii="宋体" w:hAnsi="宋体"/>
                <w:sz w:val="24"/>
                <w:szCs w:val="24"/>
              </w:rPr>
              <w:t xml:space="preserve">（3）</w:t>
            </w:r>
            <w:r>
              <w:rPr>
                <w:rFonts w:hint="eastAsia" w:ascii="宋体" w:hAnsi="宋体"/>
                <w:sz w:val="24"/>
                <w:szCs w:val="24"/>
                <w:lang w:val="en-US" w:eastAsia="zh-CN"/>
              </w:rPr>
              <w:t xml:space="preserve">审批</w:t>
            </w:r>
            <w:r>
              <w:rPr>
                <w:rFonts w:hint="eastAsia" w:ascii="宋体" w:hAnsi="宋体"/>
                <w:sz w:val="24"/>
                <w:szCs w:val="24"/>
              </w:rPr>
              <w:t xml:space="preserve">部门出具的有效参编证明</w:t>
            </w:r>
            <w:r>
              <w:rPr>
                <w:rFonts w:hint="eastAsia" w:ascii="宋体" w:hAnsi="宋体"/>
                <w:sz w:val="24"/>
                <w:szCs w:val="24"/>
                <w:lang w:val="en-US" w:eastAsia="zh-CN"/>
              </w:rPr>
              <w:t xml:space="preserve">。</w:t>
            </w:r>
            <w:r/>
          </w:p>
          <w:p>
            <w:pPr>
              <w:jc w:val="left"/>
              <w:spacing w:before="120" w:after="120"/>
              <w:rPr>
                <w:rFonts w:hint="eastAsia" w:ascii="宋体" w:hAnsi="宋体"/>
                <w:sz w:val="24"/>
                <w:szCs w:val="24"/>
              </w:rPr>
            </w:pPr>
            <w:r>
              <w:rPr>
                <w:rFonts w:hint="eastAsia" w:ascii="宋体" w:hAnsi="宋体"/>
                <w:sz w:val="24"/>
                <w:szCs w:val="24"/>
                <w:lang w:eastAsia="zh-CN"/>
              </w:rPr>
              <w:t xml:space="preserve">备注：</w:t>
            </w:r>
            <w:r>
              <w:rPr>
                <w:rFonts w:hint="eastAsia" w:ascii="宋体" w:hAnsi="宋体"/>
                <w:sz w:val="24"/>
                <w:szCs w:val="24"/>
              </w:rPr>
              <w:t xml:space="preserve">所称工法，指经行业行政主管部门审定、公布的工程建设工法；</w:t>
            </w:r>
            <w:r/>
          </w:p>
          <w:p>
            <w:pPr>
              <w:jc w:val="left"/>
              <w:spacing w:before="120" w:after="120"/>
              <w:rPr>
                <w:rFonts w:hint="eastAsia" w:ascii="宋体" w:hAnsi="宋体"/>
                <w:sz w:val="24"/>
                <w:szCs w:val="24"/>
              </w:rPr>
            </w:pPr>
            <w:r>
              <w:rPr>
                <w:rFonts w:hint="eastAsia" w:ascii="宋体" w:hAnsi="宋体"/>
                <w:sz w:val="24"/>
                <w:szCs w:val="24"/>
              </w:rPr>
              <w:t xml:space="preserve">所称技术规范，指由住房和城乡建设、交通运输、水利等行业行政主管部门或其授权的专业标准化技术委员会组织编制、发布的，在行业内具有通用约束力的工程建设技术文件；</w:t>
            </w:r>
            <w:r/>
          </w:p>
          <w:p>
            <w:pPr>
              <w:jc w:val="left"/>
              <w:spacing w:before="120" w:after="120"/>
              <w:rPr>
                <w:rFonts w:hint="default" w:ascii="宋体" w:hAnsi="宋体"/>
                <w:sz w:val="24"/>
                <w:szCs w:val="24"/>
                <w:lang w:val="en-US" w:eastAsia="zh-CN"/>
              </w:rPr>
            </w:pPr>
            <w:r>
              <w:rPr>
                <w:rFonts w:hint="eastAsia" w:ascii="宋体" w:hAnsi="宋体"/>
                <w:sz w:val="24"/>
                <w:szCs w:val="24"/>
              </w:rPr>
              <w:t xml:space="preserve">所称标准，指经国家标准化行政主管部门、行业行政主管部门、地方标准化行政主管部门批准发布的国家标准（GB）、行业标准（JGJ/CJ/JG等）、地方标准（DB）。</w:t>
            </w:r>
            <w:r/>
          </w:p>
          <w:p>
            <w:pPr>
              <w:jc w:val="left"/>
              <w:spacing w:before="120" w:after="120"/>
              <w:rPr>
                <w:rFonts w:ascii="Segoe UI" w:hAnsi="Segoe UI" w:cs="Segoe UI"/>
                <w:shd w:val="clear" w:color="auto" w:fill="ffffff"/>
              </w:rPr>
            </w:pPr>
            <w:r>
              <w:rPr>
                <w:rFonts w:ascii="Segoe UI" w:hAnsi="Segoe UI" w:cs="Segoe UI"/>
                <w:shd w:val="clear" w:color="auto" w:fill="ffffff"/>
              </w:rPr>
            </w:r>
            <w:r/>
          </w:p>
        </w:tc>
      </w:tr>
    </w:tbl>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707"/>
        <w:rPr>
          <w:rFonts w:ascii="黑体" w:hAnsi="黑体" w:cs="黑体"/>
          <w:color w:val="000000"/>
          <w:szCs w:val="44"/>
        </w:rPr>
      </w:pPr>
      <w:r>
        <w:rPr>
          <w:rStyle w:val="922"/>
          <w:rFonts w:ascii="黑体" w:hAnsi="黑体" w:cs="黑体"/>
        </w:rPr>
        <w:t xml:space="preserve">第六章投标文件格式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1084"/>
        <w:pBdr>
          <w:top w:val="none" w:color="000000" w:sz="0" w:space="0"/>
          <w:left w:val="none" w:color="000000" w:sz="0" w:space="0"/>
          <w:bottom w:val="none" w:color="000000" w:sz="0" w:space="0"/>
          <w:right w:val="none" w:color="000000" w:sz="0" w:space="0"/>
        </w:pBdr>
      </w:pPr>
      <w:r>
        <w:br w:type="page" w:clear="all"/>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 </w:t>
      </w:r>
      <w:r>
        <w:rPr>
          <w:rFonts w:hint="eastAsia" w:ascii="宋体" w:hAnsi="宋体" w:cs="宋体"/>
          <w:color w:val="000000"/>
          <w:sz w:val="24"/>
          <w:lang w:val="en-US" w:eastAsia="zh-CN"/>
        </w:rPr>
        <w:t xml:space="preserve">上一</w:t>
      </w:r>
      <w:r>
        <w:rPr>
          <w:rFonts w:ascii="宋体" w:hAnsi="宋体" w:cs="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line="45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8.特定资格要求的证明文件。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Style w:val="761"/>
        <w:tblW w:w="77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投标分项报价表（采购包号：**）</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tbl>
      <w:tblPr>
        <w:tblStyle w:val="761"/>
        <w:tblW w:w="848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1098"/>
        <w:gridCol w:w="851"/>
        <w:gridCol w:w="992"/>
        <w:gridCol w:w="1134"/>
        <w:gridCol w:w="1276"/>
        <w:gridCol w:w="2268"/>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863"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合同签订后</w:t>
            </w:r>
            <w:r>
              <w:rPr>
                <w:rFonts w:ascii="宋体" w:hAnsi="宋体" w:cs="宋体"/>
                <w:color w:val="000000"/>
                <w:sz w:val="24"/>
                <w:u w:val="single"/>
              </w:rPr>
              <w:t xml:space="preserve">  </w:t>
            </w:r>
            <w:r>
              <w:rPr>
                <w:rFonts w:ascii="宋体" w:hAnsi="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2.“投标分项报价表”中“投标总报价”数额应当与“开标一览表”中“投标总报价”数额一致。</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项目经办人可以根据项目实际需要对表格结构进行调整。</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Style w:val="761"/>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761"/>
        <w:tblW w:w="805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23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被授权人电子邮箱</w:t>
      </w:r>
      <w:r>
        <w:rPr>
          <w:rFonts w:ascii="宋体" w:hAnsi="宋体" w:cs="宋体"/>
          <w:color w:val="000000"/>
          <w:sz w:val="24"/>
        </w:rPr>
        <w:t xml:space="preserve">：</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单位地址：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761"/>
        <w:tblW w:w="8070"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59"/>
        <w:gridCol w:w="411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（供应商填写招标文件中明确的所属行业）</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（供应商填写招标文件中明确的所属行业）</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3.供应商应对照《工业和信息化部、国家统计局、国家发展和改革委员会、财政</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761"/>
        <w:tblW w:w="88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Mar>
              <w:left w:w="105" w:type="dxa"/>
              <w:top w:w="0" w:type="dxa"/>
              <w:right w:w="105" w:type="dxa"/>
              <w:bottom w:w="0" w:type="dxa"/>
            </w:tcMar>
            <w:tcW w:w="171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Mar>
              <w:left w:w="105" w:type="dxa"/>
              <w:top w:w="0" w:type="dxa"/>
              <w:right w:w="105" w:type="dxa"/>
              <w:bottom w:w="0" w:type="dxa"/>
            </w:tcMar>
            <w:tcW w:w="141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Mar>
              <w:left w:w="105" w:type="dxa"/>
              <w:top w:w="0" w:type="dxa"/>
              <w:right w:w="105" w:type="dxa"/>
              <w:bottom w:w="0" w:type="dxa"/>
            </w:tcMar>
            <w:tcW w:w="1134"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r/>
            <w:r/>
          </w:p>
        </w:tc>
        <w:tc>
          <w:tcPr>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761"/>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AVJU+SimSun-Identity-H">
    <w:panose1 w:val="020B0503020202020204"/>
  </w:font>
  <w:font w:name="TimesNewRomanPSMT">
    <w:panose1 w:val="02020603050405020304"/>
  </w:font>
  <w:font w:name="Segoe UI">
    <w:panose1 w:val="020B0502040204020203"/>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rPr>
        <w:rStyle w:val="757"/>
      </w:rPr>
      <w:framePr w:wrap="around" w:vAnchor="text" w:hAnchor="margin" w:xAlign="center" w:y="1"/>
    </w:pPr>
    <w:r>
      <w:fldChar w:fldCharType="begin"/>
    </w:r>
    <w:r>
      <w:rPr>
        <w:rStyle w:val="757"/>
      </w:rPr>
      <w:instrText xml:space="preserve">PAGE  </w:instrText>
    </w:r>
    <w:r>
      <w:fldChar w:fldCharType="separate"/>
    </w:r>
    <w:r>
      <w:rPr>
        <w:rStyle w:val="757"/>
      </w:rPr>
      <w:t xml:space="preserve">1</w:t>
    </w:r>
    <w:r>
      <w:fldChar w:fldCharType="end"/>
    </w:r>
    <w:r/>
  </w:p>
  <w:p>
    <w:pPr>
      <w:pStyle w:val="7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4495" cy="1314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28449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2.4pt;height:10.3pt;mso-wrap-distance-left:9.0pt;mso-wrap-distance-top:0.0pt;mso-wrap-distance-right:9.0pt;mso-wrap-distance-bottom:0.0pt;v-text-anchor:top;visibility:visible;" filled="f" stroked="f" strokeweight="0.50pt">
              <v:textbox inset="0,0,0,0">
                <w:txbxContent>
                  <w:p>
                    <w:pPr>
                      <w:pStyle w:val="738"/>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14558" cy="131433"/>
              <wp:effectExtent l="3175" t="3175" r="3175" b="3175"/>
              <wp:wrapNone/>
              <wp:docPr id="2" name="文本框 4"/>
              <wp:cNvGraphicFramePr/>
              <a:graphic xmlns:a="http://schemas.openxmlformats.org/drawingml/2006/main">
                <a:graphicData uri="http://schemas.microsoft.com/office/word/2010/wordprocessingShape">
                  <wps:wsp>
                    <wps:cNvPr id="0" name=""/>
                    <wps:cNvSpPr txBox="1"/>
                    <wps:spPr bwMode="auto">
                      <a:xfrm flipH="0" flipV="0">
                        <a:off x="0" y="0"/>
                        <a:ext cx="31455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4.8pt;height:10.3pt;mso-wrap-distance-left:9.0pt;mso-wrap-distance-top:0.0pt;mso-wrap-distance-right:9.0pt;mso-wrap-distance-bottom:0.0pt;v-text-anchor:top;visibility:visible;" filled="f" stroked="f" strokeweight="0.50pt">
              <v:textbox inset="0,0,0,0">
                <w:txbxContent>
                  <w:p>
                    <w:pPr>
                      <w:pStyle w:val="738"/>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8"/>
      <w:isLgl w:val="false"/>
      <w:suff w:val="nothing"/>
      <w:lvlText w:val=""/>
      <w:lvlJc w:val="left"/>
      <w:pPr>
        <w:ind w:left="0" w:firstLine="0"/>
      </w:pPr>
      <w:rPr>
        <w:rFonts w:hint="eastAsia"/>
      </w:rPr>
    </w:lvl>
    <w:lvl w:ilvl="6">
      <w:start w:val="1"/>
      <w:numFmt w:val="decimal"/>
      <w:pStyle w:val="989"/>
      <w:isLgl w:val="false"/>
      <w:suff w:val="nothing"/>
      <w:lvlText w:val=""/>
      <w:lvlJc w:val="left"/>
      <w:pPr>
        <w:ind w:left="0" w:firstLine="0"/>
      </w:pPr>
      <w:rPr>
        <w:rFonts w:hint="eastAsia"/>
      </w:rPr>
    </w:lvl>
    <w:lvl w:ilvl="7">
      <w:start w:val="1"/>
      <w:numFmt w:val="decimal"/>
      <w:pStyle w:val="990"/>
      <w:isLgl w:val="false"/>
      <w:suff w:val="nothing"/>
      <w:lvlText w:val=""/>
      <w:lvlJc w:val="left"/>
      <w:pPr>
        <w:ind w:left="0" w:firstLine="0"/>
      </w:pPr>
      <w:rPr>
        <w:rFonts w:hint="eastAsia"/>
      </w:rPr>
    </w:lvl>
    <w:lvl w:ilvl="8">
      <w:start w:val="1"/>
      <w:numFmt w:val="decimal"/>
      <w:pStyle w:val="991"/>
      <w:isLgl w:val="false"/>
      <w:suff w:val="nothing"/>
      <w:lvlText w:val=""/>
      <w:lvlJc w:val="left"/>
      <w:pPr>
        <w:ind w:left="0" w:firstLine="0"/>
      </w:pPr>
      <w:rPr>
        <w:rFonts w:hint="eastAsia"/>
      </w:rPr>
    </w:lvl>
  </w:abstractNum>
  <w:abstractNum w:abstractNumId="1">
    <w:multiLevelType w:val="hybridMultilevel"/>
    <w:lvl w:ilvl="0">
      <w:start w:val="1"/>
      <w:numFmt w:val="decimal"/>
      <w:pStyle w:val="9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9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2"/>
      <w:isLgl w:val="false"/>
      <w:suff w:val="nothing"/>
      <w:lvlText w:val=""/>
      <w:lvlJc w:val="left"/>
      <w:pPr>
        <w:ind w:left="0" w:firstLine="0"/>
      </w:pPr>
      <w:rPr>
        <w:rFonts w:hint="eastAsia"/>
      </w:rPr>
    </w:lvl>
    <w:lvl w:ilvl="6">
      <w:start w:val="1"/>
      <w:numFmt w:val="decimal"/>
      <w:pStyle w:val="713"/>
      <w:isLgl w:val="false"/>
      <w:suff w:val="nothing"/>
      <w:lvlText w:val=""/>
      <w:lvlJc w:val="left"/>
      <w:pPr>
        <w:ind w:left="0" w:firstLine="0"/>
      </w:pPr>
      <w:rPr>
        <w:rFonts w:hint="eastAsia"/>
      </w:rPr>
    </w:lvl>
    <w:lvl w:ilvl="7">
      <w:start w:val="1"/>
      <w:numFmt w:val="decimal"/>
      <w:pStyle w:val="714"/>
      <w:isLgl w:val="false"/>
      <w:suff w:val="nothing"/>
      <w:lvlText w:val=""/>
      <w:lvlJc w:val="left"/>
      <w:pPr>
        <w:ind w:left="0" w:firstLine="0"/>
      </w:pPr>
      <w:rPr>
        <w:rFonts w:hint="eastAsia"/>
      </w:rPr>
    </w:lvl>
    <w:lvl w:ilvl="8">
      <w:start w:val="1"/>
      <w:numFmt w:val="decimal"/>
      <w:pStyle w:val="715"/>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16"/>
    <w:link w:val="754"/>
    <w:uiPriority w:val="10"/>
    <w:rPr>
      <w:sz w:val="48"/>
      <w:szCs w:val="48"/>
    </w:rPr>
  </w:style>
  <w:style w:type="character" w:styleId="36">
    <w:name w:val="Subtitle Char"/>
    <w:basedOn w:val="716"/>
    <w:link w:val="743"/>
    <w:uiPriority w:val="11"/>
    <w:rPr>
      <w:sz w:val="24"/>
      <w:szCs w:val="24"/>
    </w:rPr>
  </w:style>
  <w:style w:type="character" w:styleId="38">
    <w:name w:val="Quote Char"/>
    <w:link w:val="775"/>
    <w:uiPriority w:val="29"/>
    <w:rPr>
      <w:i/>
    </w:rPr>
  </w:style>
  <w:style w:type="character" w:styleId="40">
    <w:name w:val="Intense Quote Char"/>
    <w:link w:val="777"/>
    <w:uiPriority w:val="30"/>
    <w:rPr>
      <w:i/>
    </w:rPr>
  </w:style>
  <w:style w:type="table" w:styleId="49">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5"/>
    <w:uiPriority w:val="99"/>
    <w:rPr>
      <w:sz w:val="18"/>
    </w:rPr>
  </w:style>
  <w:style w:type="character" w:styleId="178">
    <w:name w:val="Endnote Text Char"/>
    <w:link w:val="736"/>
    <w:uiPriority w:val="99"/>
    <w:rPr>
      <w:sz w:val="20"/>
    </w:rPr>
  </w:style>
  <w:style w:type="paragraph" w:styleId="70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07">
    <w:name w:val="Heading 1"/>
    <w:basedOn w:val="706"/>
    <w:next w:val="706"/>
    <w:link w:val="922"/>
    <w:uiPriority w:val="9"/>
    <w:qFormat/>
    <w:pPr>
      <w:jc w:val="center"/>
      <w:keepNext/>
      <w:outlineLvl w:val="0"/>
    </w:pPr>
    <w:rPr>
      <w:rFonts w:ascii="楷体_GB2312" w:hAnsi="楷体_GB2312" w:eastAsia="黑体"/>
      <w:sz w:val="44"/>
      <w:szCs w:val="28"/>
    </w:rPr>
  </w:style>
  <w:style w:type="paragraph" w:styleId="708">
    <w:name w:val="Heading 2"/>
    <w:basedOn w:val="706"/>
    <w:next w:val="718"/>
    <w:link w:val="911"/>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09">
    <w:name w:val="Heading 3"/>
    <w:basedOn w:val="706"/>
    <w:next w:val="718"/>
    <w:link w:val="910"/>
    <w:uiPriority w:val="9"/>
    <w:qFormat/>
    <w:pPr>
      <w:keepLines/>
      <w:keepNext/>
      <w:spacing w:before="260" w:after="260" w:line="416" w:lineRule="auto"/>
      <w:outlineLvl w:val="2"/>
    </w:pPr>
    <w:rPr>
      <w:b/>
      <w:bCs/>
      <w:sz w:val="32"/>
      <w:szCs w:val="32"/>
    </w:rPr>
  </w:style>
  <w:style w:type="paragraph" w:styleId="710">
    <w:name w:val="Heading 4"/>
    <w:basedOn w:val="706"/>
    <w:next w:val="718"/>
    <w:link w:val="936"/>
    <w:uiPriority w:val="9"/>
    <w:qFormat/>
    <w:pPr>
      <w:keepLines/>
      <w:keepNext/>
      <w:spacing w:before="280" w:after="290" w:line="376" w:lineRule="auto"/>
      <w:outlineLvl w:val="3"/>
    </w:pPr>
    <w:rPr>
      <w:rFonts w:ascii="Arial" w:hAnsi="Arial" w:eastAsia="黑体" w:cs="Arial"/>
      <w:b/>
      <w:bCs/>
      <w:sz w:val="28"/>
      <w:szCs w:val="28"/>
    </w:rPr>
  </w:style>
  <w:style w:type="paragraph" w:styleId="711">
    <w:name w:val="Heading 5"/>
    <w:basedOn w:val="706"/>
    <w:next w:val="718"/>
    <w:link w:val="932"/>
    <w:uiPriority w:val="9"/>
    <w:qFormat/>
    <w:pPr>
      <w:keepNext/>
      <w:outlineLvl w:val="4"/>
    </w:pPr>
    <w:rPr>
      <w:rFonts w:ascii="宋体"/>
      <w:color w:val="000000"/>
      <w:sz w:val="28"/>
      <w:szCs w:val="28"/>
    </w:rPr>
  </w:style>
  <w:style w:type="paragraph" w:styleId="712">
    <w:name w:val="Heading 6"/>
    <w:basedOn w:val="706"/>
    <w:next w:val="706"/>
    <w:link w:val="917"/>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13">
    <w:name w:val="Heading 7"/>
    <w:basedOn w:val="706"/>
    <w:next w:val="706"/>
    <w:link w:val="928"/>
    <w:uiPriority w:val="9"/>
    <w:qFormat/>
    <w:pPr>
      <w:numPr>
        <w:ilvl w:val="6"/>
        <w:numId w:val="1"/>
      </w:numPr>
      <w:keepLines/>
      <w:keepNext/>
      <w:spacing w:before="240" w:after="64" w:line="320" w:lineRule="auto"/>
      <w:outlineLvl w:val="6"/>
    </w:pPr>
    <w:rPr>
      <w:b/>
      <w:bCs/>
      <w:sz w:val="24"/>
      <w:szCs w:val="24"/>
    </w:rPr>
  </w:style>
  <w:style w:type="paragraph" w:styleId="714">
    <w:name w:val="Heading 8"/>
    <w:basedOn w:val="706"/>
    <w:next w:val="706"/>
    <w:link w:val="941"/>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15">
    <w:name w:val="Heading 9"/>
    <w:basedOn w:val="706"/>
    <w:next w:val="706"/>
    <w:link w:val="930"/>
    <w:uiPriority w:val="9"/>
    <w:qFormat/>
    <w:pPr>
      <w:numPr>
        <w:ilvl w:val="8"/>
        <w:numId w:val="1"/>
      </w:numPr>
      <w:keepLines/>
      <w:keepNext/>
      <w:spacing w:before="240" w:after="64" w:line="320" w:lineRule="auto"/>
      <w:outlineLvl w:val="8"/>
    </w:pPr>
    <w:rPr>
      <w:rFonts w:ascii="Arial" w:hAnsi="Arial" w:eastAsia="黑体"/>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Layout w:type="fixed"/>
      <w:tblCellMar>
        <w:left w:w="108" w:type="dxa"/>
        <w:top w:w="0" w:type="dxa"/>
        <w:right w:w="108" w:type="dxa"/>
        <w:bottom w:w="0" w:type="dxa"/>
      </w:tblCellMar>
    </w:tblPr>
  </w:style>
  <w:style w:type="paragraph" w:styleId="718">
    <w:name w:val="Normal Indent"/>
    <w:basedOn w:val="706"/>
    <w:link w:val="927"/>
    <w:uiPriority w:val="0"/>
    <w:qFormat/>
    <w:pPr>
      <w:ind w:firstLine="420"/>
    </w:pPr>
  </w:style>
  <w:style w:type="paragraph" w:styleId="719">
    <w:name w:val="List 3"/>
    <w:basedOn w:val="706"/>
    <w:uiPriority w:val="0"/>
    <w:qFormat/>
    <w:pPr>
      <w:ind w:left="100" w:hanging="200"/>
    </w:pPr>
  </w:style>
  <w:style w:type="paragraph" w:styleId="720">
    <w:name w:val="annotation subject"/>
    <w:basedOn w:val="721"/>
    <w:next w:val="721"/>
    <w:link w:val="918"/>
    <w:uiPriority w:val="0"/>
    <w:semiHidden/>
    <w:qFormat/>
    <w:rPr>
      <w:b/>
      <w:bCs/>
    </w:rPr>
  </w:style>
  <w:style w:type="paragraph" w:styleId="721">
    <w:name w:val="annotation text"/>
    <w:basedOn w:val="706"/>
    <w:link w:val="931"/>
    <w:uiPriority w:val="0"/>
    <w:semiHidden/>
    <w:qFormat/>
    <w:pPr>
      <w:jc w:val="left"/>
    </w:pPr>
  </w:style>
  <w:style w:type="paragraph" w:styleId="722">
    <w:name w:val="toc 7"/>
    <w:basedOn w:val="706"/>
    <w:next w:val="706"/>
    <w:uiPriority w:val="39"/>
    <w:qFormat/>
    <w:pPr>
      <w:ind w:left="1260"/>
      <w:jc w:val="left"/>
    </w:pPr>
  </w:style>
  <w:style w:type="paragraph" w:styleId="723">
    <w:name w:val="Body Text First Indent"/>
    <w:basedOn w:val="706"/>
    <w:link w:val="920"/>
    <w:uiPriority w:val="0"/>
    <w:qFormat/>
    <w:pPr>
      <w:ind w:firstLine="200"/>
      <w:spacing w:line="360" w:lineRule="auto"/>
    </w:pPr>
    <w:rPr>
      <w:rFonts w:ascii="仿宋_GB2312" w:eastAsia="仿宋_GB2312"/>
      <w:sz w:val="30"/>
      <w:szCs w:val="30"/>
    </w:rPr>
  </w:style>
  <w:style w:type="paragraph" w:styleId="724">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Document Map"/>
    <w:basedOn w:val="706"/>
    <w:link w:val="913"/>
    <w:uiPriority w:val="0"/>
    <w:semiHidden/>
    <w:qFormat/>
    <w:pPr>
      <w:shd w:val="clear" w:color="auto" w:fill="000080"/>
    </w:pPr>
  </w:style>
  <w:style w:type="paragraph" w:styleId="726">
    <w:name w:val="Body Text 3"/>
    <w:basedOn w:val="706"/>
    <w:link w:val="924"/>
    <w:uiPriority w:val="0"/>
    <w:qFormat/>
    <w:rPr>
      <w:rFonts w:ascii="仿宋_GB2312" w:hAnsi="Arial" w:eastAsia="仿宋_GB2312"/>
      <w:sz w:val="32"/>
      <w:szCs w:val="32"/>
    </w:rPr>
  </w:style>
  <w:style w:type="paragraph" w:styleId="727">
    <w:name w:val="Body Text"/>
    <w:basedOn w:val="706"/>
    <w:link w:val="939"/>
    <w:uiPriority w:val="0"/>
    <w:qFormat/>
    <w:rPr>
      <w:rFonts w:ascii="楷体_GB2312" w:hAnsi="Arial" w:eastAsia="楷体_GB2312"/>
      <w:sz w:val="28"/>
      <w:szCs w:val="28"/>
    </w:rPr>
  </w:style>
  <w:style w:type="paragraph" w:styleId="728">
    <w:name w:val="Body Text Indent"/>
    <w:basedOn w:val="706"/>
    <w:link w:val="929"/>
    <w:uiPriority w:val="0"/>
    <w:qFormat/>
    <w:pPr>
      <w:ind w:firstLine="645"/>
    </w:pPr>
    <w:rPr>
      <w:rFonts w:ascii="楷体_GB2312" w:eastAsia="楷体_GB2312"/>
      <w:sz w:val="32"/>
      <w:szCs w:val="32"/>
    </w:rPr>
  </w:style>
  <w:style w:type="paragraph" w:styleId="729">
    <w:name w:val="List 2"/>
    <w:basedOn w:val="706"/>
    <w:uiPriority w:val="0"/>
    <w:qFormat/>
    <w:pPr>
      <w:ind w:left="100" w:hanging="200"/>
    </w:pPr>
  </w:style>
  <w:style w:type="paragraph" w:styleId="730">
    <w:name w:val="toc 5"/>
    <w:basedOn w:val="706"/>
    <w:next w:val="706"/>
    <w:uiPriority w:val="39"/>
    <w:qFormat/>
    <w:pPr>
      <w:ind w:left="840"/>
      <w:jc w:val="left"/>
    </w:pPr>
  </w:style>
  <w:style w:type="paragraph" w:styleId="731">
    <w:name w:val="toc 3"/>
    <w:basedOn w:val="706"/>
    <w:next w:val="706"/>
    <w:uiPriority w:val="39"/>
    <w:qFormat/>
    <w:pPr>
      <w:ind w:left="420"/>
      <w:jc w:val="left"/>
    </w:pPr>
    <w:rPr>
      <w:i/>
      <w:iCs/>
      <w:szCs w:val="24"/>
    </w:rPr>
  </w:style>
  <w:style w:type="paragraph" w:styleId="732">
    <w:name w:val="Plain Text"/>
    <w:basedOn w:val="706"/>
    <w:link w:val="912"/>
    <w:uiPriority w:val="0"/>
    <w:qFormat/>
    <w:rPr>
      <w:rFonts w:ascii="宋体" w:hAnsi="Courier New" w:cs="Courier New"/>
    </w:rPr>
  </w:style>
  <w:style w:type="paragraph" w:styleId="733">
    <w:name w:val="toc 8"/>
    <w:basedOn w:val="706"/>
    <w:next w:val="706"/>
    <w:uiPriority w:val="39"/>
    <w:qFormat/>
    <w:pPr>
      <w:ind w:left="1470"/>
      <w:jc w:val="left"/>
    </w:pPr>
  </w:style>
  <w:style w:type="paragraph" w:styleId="734">
    <w:name w:val="Date"/>
    <w:basedOn w:val="706"/>
    <w:next w:val="706"/>
    <w:link w:val="934"/>
    <w:uiPriority w:val="0"/>
    <w:qFormat/>
    <w:rPr>
      <w:sz w:val="24"/>
      <w:szCs w:val="24"/>
    </w:rPr>
  </w:style>
  <w:style w:type="paragraph" w:styleId="735">
    <w:name w:val="Body Text Indent 2"/>
    <w:basedOn w:val="706"/>
    <w:link w:val="933"/>
    <w:uiPriority w:val="0"/>
    <w:qFormat/>
    <w:pPr>
      <w:ind w:left="630" w:firstLine="645"/>
    </w:pPr>
    <w:rPr>
      <w:rFonts w:ascii="Arial" w:hAnsi="Arial" w:eastAsia="仿宋_GB2312" w:cs="Arial"/>
      <w:sz w:val="32"/>
      <w:szCs w:val="32"/>
    </w:rPr>
  </w:style>
  <w:style w:type="paragraph" w:styleId="736">
    <w:name w:val="endnote text"/>
    <w:basedOn w:val="706"/>
    <w:link w:val="908"/>
    <w:uiPriority w:val="99"/>
    <w:semiHidden/>
    <w:unhideWhenUsed/>
    <w:qFormat/>
    <w:rPr>
      <w:sz w:val="20"/>
    </w:rPr>
  </w:style>
  <w:style w:type="paragraph" w:styleId="737">
    <w:name w:val="Balloon Text"/>
    <w:basedOn w:val="706"/>
    <w:link w:val="935"/>
    <w:uiPriority w:val="0"/>
    <w:semiHidden/>
    <w:qFormat/>
    <w:rPr>
      <w:sz w:val="18"/>
      <w:szCs w:val="18"/>
    </w:rPr>
  </w:style>
  <w:style w:type="paragraph" w:styleId="738">
    <w:name w:val="Footer"/>
    <w:basedOn w:val="706"/>
    <w:link w:val="914"/>
    <w:uiPriority w:val="99"/>
    <w:qFormat/>
    <w:pPr>
      <w:jc w:val="left"/>
      <w:tabs>
        <w:tab w:val="center" w:pos="4153" w:leader="none"/>
        <w:tab w:val="right" w:pos="8306" w:leader="none"/>
      </w:tabs>
    </w:pPr>
    <w:rPr>
      <w:sz w:val="18"/>
      <w:szCs w:val="18"/>
    </w:rPr>
  </w:style>
  <w:style w:type="paragraph" w:styleId="739">
    <w:name w:val="Body Text First Indent 2"/>
    <w:basedOn w:val="728"/>
    <w:link w:val="921"/>
    <w:uiPriority w:val="0"/>
    <w:qFormat/>
    <w:pPr>
      <w:ind w:firstLine="420"/>
      <w:spacing w:line="360" w:lineRule="auto"/>
    </w:pPr>
    <w:rPr>
      <w:rFonts w:ascii="宋体" w:hAnsi="宋体" w:eastAsia="宋体"/>
      <w:sz w:val="21"/>
      <w:szCs w:val="20"/>
    </w:rPr>
  </w:style>
  <w:style w:type="paragraph" w:styleId="740">
    <w:name w:val="Header"/>
    <w:basedOn w:val="706"/>
    <w:link w:val="938"/>
    <w:uiPriority w:val="99"/>
    <w:qFormat/>
    <w:pPr>
      <w:jc w:val="center"/>
      <w:tabs>
        <w:tab w:val="center" w:pos="4153" w:leader="none"/>
        <w:tab w:val="right" w:pos="8306" w:leader="none"/>
      </w:tabs>
      <w:pBdr>
        <w:bottom w:val="single" w:color="000000" w:sz="6" w:space="1"/>
      </w:pBdr>
    </w:pPr>
    <w:rPr>
      <w:sz w:val="18"/>
      <w:szCs w:val="18"/>
    </w:rPr>
  </w:style>
  <w:style w:type="paragraph" w:styleId="741">
    <w:name w:val="toc 1"/>
    <w:basedOn w:val="706"/>
    <w:next w:val="706"/>
    <w:uiPriority w:val="39"/>
    <w:qFormat/>
    <w:pPr>
      <w:jc w:val="left"/>
      <w:spacing w:before="120" w:after="120" w:line="400" w:lineRule="exact"/>
      <w:tabs>
        <w:tab w:val="right" w:pos="8720" w:leader="dot"/>
      </w:tabs>
    </w:pPr>
    <w:rPr>
      <w:rFonts w:ascii="宋体" w:hAnsi="宋体"/>
      <w:caps/>
      <w:sz w:val="24"/>
      <w:szCs w:val="24"/>
    </w:rPr>
  </w:style>
  <w:style w:type="paragraph" w:styleId="742">
    <w:name w:val="toc 4"/>
    <w:basedOn w:val="706"/>
    <w:next w:val="706"/>
    <w:uiPriority w:val="39"/>
    <w:qFormat/>
    <w:pPr>
      <w:ind w:left="630"/>
      <w:jc w:val="left"/>
    </w:pPr>
  </w:style>
  <w:style w:type="paragraph" w:styleId="743">
    <w:name w:val="Subtitle"/>
    <w:basedOn w:val="706"/>
    <w:next w:val="706"/>
    <w:link w:val="774"/>
    <w:uiPriority w:val="11"/>
    <w:qFormat/>
    <w:pPr>
      <w:spacing w:before="200" w:after="200"/>
    </w:pPr>
    <w:rPr>
      <w:sz w:val="24"/>
      <w:szCs w:val="24"/>
    </w:rPr>
  </w:style>
  <w:style w:type="paragraph" w:styleId="744">
    <w:name w:val="List"/>
    <w:basedOn w:val="706"/>
    <w:uiPriority w:val="0"/>
    <w:qFormat/>
    <w:pPr>
      <w:ind w:left="200" w:hanging="200"/>
    </w:pPr>
  </w:style>
  <w:style w:type="paragraph" w:styleId="745">
    <w:name w:val="footnote text"/>
    <w:basedOn w:val="706"/>
    <w:link w:val="907"/>
    <w:uiPriority w:val="99"/>
    <w:semiHidden/>
    <w:unhideWhenUsed/>
    <w:qFormat/>
    <w:pPr>
      <w:spacing w:after="40"/>
    </w:pPr>
    <w:rPr>
      <w:sz w:val="18"/>
    </w:rPr>
  </w:style>
  <w:style w:type="paragraph" w:styleId="746">
    <w:name w:val="toc 6"/>
    <w:basedOn w:val="706"/>
    <w:next w:val="706"/>
    <w:uiPriority w:val="39"/>
    <w:qFormat/>
    <w:pPr>
      <w:ind w:left="1050"/>
      <w:jc w:val="left"/>
    </w:pPr>
  </w:style>
  <w:style w:type="paragraph" w:styleId="747">
    <w:name w:val="Body Text Indent 3"/>
    <w:basedOn w:val="706"/>
    <w:link w:val="940"/>
    <w:uiPriority w:val="0"/>
    <w:qFormat/>
    <w:pPr>
      <w:ind w:left="645" w:firstLine="645"/>
    </w:pPr>
    <w:rPr>
      <w:rFonts w:ascii="Arial" w:hAnsi="Arial" w:eastAsia="仿宋_GB2312" w:cs="Arial"/>
      <w:color w:val="ffff00"/>
      <w:sz w:val="32"/>
      <w:szCs w:val="32"/>
    </w:rPr>
  </w:style>
  <w:style w:type="paragraph" w:styleId="748">
    <w:name w:val="table of figures"/>
    <w:basedOn w:val="706"/>
    <w:next w:val="706"/>
    <w:uiPriority w:val="99"/>
    <w:qFormat/>
    <w:pPr>
      <w:ind w:left="840" w:hanging="420"/>
    </w:pPr>
  </w:style>
  <w:style w:type="paragraph" w:styleId="749">
    <w:name w:val="toc 2"/>
    <w:basedOn w:val="706"/>
    <w:next w:val="706"/>
    <w:uiPriority w:val="39"/>
    <w:qFormat/>
    <w:pPr>
      <w:ind w:left="210"/>
      <w:jc w:val="left"/>
    </w:pPr>
    <w:rPr>
      <w:smallCaps/>
      <w:szCs w:val="24"/>
    </w:rPr>
  </w:style>
  <w:style w:type="paragraph" w:styleId="750">
    <w:name w:val="toc 9"/>
    <w:basedOn w:val="706"/>
    <w:next w:val="706"/>
    <w:uiPriority w:val="39"/>
    <w:qFormat/>
    <w:pPr>
      <w:ind w:left="1680"/>
      <w:jc w:val="left"/>
    </w:pPr>
  </w:style>
  <w:style w:type="paragraph" w:styleId="751">
    <w:name w:val="Body Text 2"/>
    <w:basedOn w:val="706"/>
    <w:link w:val="919"/>
    <w:uiPriority w:val="0"/>
    <w:qFormat/>
    <w:pPr>
      <w:jc w:val="center"/>
      <w:widowControl/>
    </w:pPr>
    <w:rPr>
      <w:rFonts w:ascii="楷体_GB2312" w:eastAsia="楷体_GB2312"/>
      <w:sz w:val="28"/>
      <w:szCs w:val="28"/>
    </w:rPr>
  </w:style>
  <w:style w:type="paragraph" w:styleId="752">
    <w:name w:val="Normal (Web)"/>
    <w:basedOn w:val="706"/>
    <w:uiPriority w:val="99"/>
    <w:qFormat/>
    <w:pPr>
      <w:jc w:val="left"/>
      <w:spacing w:before="100" w:beforeAutospacing="1" w:after="100" w:afterAutospacing="1"/>
      <w:widowControl/>
    </w:pPr>
    <w:rPr>
      <w:rFonts w:ascii="宋体" w:hAnsi="宋体" w:cs="宋体"/>
      <w:sz w:val="24"/>
      <w:szCs w:val="24"/>
    </w:rPr>
  </w:style>
  <w:style w:type="paragraph" w:styleId="753">
    <w:name w:val="index 1"/>
    <w:basedOn w:val="706"/>
    <w:next w:val="706"/>
    <w:uiPriority w:val="0"/>
    <w:semiHidden/>
    <w:qFormat/>
    <w:pPr>
      <w:spacing w:line="240" w:lineRule="atLeast"/>
    </w:pPr>
    <w:rPr>
      <w:b/>
      <w:bCs/>
    </w:rPr>
  </w:style>
  <w:style w:type="paragraph" w:styleId="754">
    <w:name w:val="Title"/>
    <w:basedOn w:val="706"/>
    <w:next w:val="706"/>
    <w:link w:val="773"/>
    <w:uiPriority w:val="10"/>
    <w:qFormat/>
    <w:pPr>
      <w:contextualSpacing/>
      <w:spacing w:before="300" w:after="200"/>
    </w:pPr>
    <w:rPr>
      <w:sz w:val="48"/>
      <w:szCs w:val="48"/>
    </w:rPr>
  </w:style>
  <w:style w:type="character" w:styleId="755">
    <w:name w:val="Strong"/>
    <w:uiPriority w:val="0"/>
    <w:qFormat/>
    <w:rPr>
      <w:b/>
      <w:bCs/>
    </w:rPr>
  </w:style>
  <w:style w:type="character" w:styleId="756">
    <w:name w:val="endnote reference"/>
    <w:uiPriority w:val="99"/>
    <w:semiHidden/>
    <w:unhideWhenUsed/>
    <w:qFormat/>
    <w:rPr>
      <w:vertAlign w:val="superscript"/>
    </w:rPr>
  </w:style>
  <w:style w:type="character" w:styleId="757">
    <w:name w:val="page number"/>
    <w:uiPriority w:val="0"/>
    <w:qFormat/>
  </w:style>
  <w:style w:type="character" w:styleId="758">
    <w:name w:val="Hyperlink"/>
    <w:uiPriority w:val="99"/>
    <w:qFormat/>
    <w:rPr>
      <w:color w:val="0000ff"/>
      <w:u w:val="single"/>
    </w:rPr>
  </w:style>
  <w:style w:type="character" w:styleId="759">
    <w:name w:val="annotation reference"/>
    <w:uiPriority w:val="0"/>
    <w:semiHidden/>
    <w:qFormat/>
    <w:rPr>
      <w:sz w:val="21"/>
      <w:szCs w:val="21"/>
    </w:rPr>
  </w:style>
  <w:style w:type="character" w:styleId="760">
    <w:name w:val="footnote reference"/>
    <w:uiPriority w:val="99"/>
    <w:unhideWhenUsed/>
    <w:qFormat/>
    <w:rPr>
      <w:vertAlign w:val="superscript"/>
    </w:rPr>
  </w:style>
  <w:style w:type="table" w:styleId="761">
    <w:name w:val="Table Grid"/>
    <w:basedOn w:val="717"/>
    <w:uiPriority w:val="59"/>
    <w:qFormat/>
    <w:pPr>
      <w:jc w:val="both"/>
      <w:widowControl w:val="off"/>
    </w:pPr>
    <w:tblPr>
      <w:tblLayout w:type="fixed"/>
      <w:tblCellMar>
        <w:left w:w="108" w:type="dxa"/>
        <w:top w:w="0" w:type="dxa"/>
        <w:right w:w="108" w:type="dxa"/>
        <w:bottom w:w="0" w:type="dxa"/>
      </w:tblCellMar>
    </w:tblPr>
  </w:style>
  <w:style w:type="character" w:styleId="762" w:customStyle="1">
    <w:name w:val="Heading 1 Char"/>
    <w:uiPriority w:val="9"/>
    <w:qFormat/>
    <w:rPr>
      <w:rFonts w:ascii="Arial" w:hAnsi="Arial" w:eastAsia="Arial" w:cs="Arial"/>
      <w:sz w:val="40"/>
      <w:szCs w:val="40"/>
    </w:rPr>
  </w:style>
  <w:style w:type="character" w:styleId="763" w:customStyle="1">
    <w:name w:val="Heading 2 Char"/>
    <w:uiPriority w:val="9"/>
    <w:qFormat/>
    <w:rPr>
      <w:rFonts w:ascii="Arial" w:hAnsi="Arial" w:eastAsia="Arial" w:cs="Arial"/>
      <w:sz w:val="34"/>
    </w:rPr>
  </w:style>
  <w:style w:type="character" w:styleId="764" w:customStyle="1">
    <w:name w:val="Heading 3 Char"/>
    <w:uiPriority w:val="9"/>
    <w:qFormat/>
    <w:rPr>
      <w:rFonts w:ascii="Arial" w:hAnsi="Arial" w:eastAsia="Arial" w:cs="Arial"/>
      <w:sz w:val="30"/>
      <w:szCs w:val="30"/>
    </w:rPr>
  </w:style>
  <w:style w:type="character" w:styleId="765" w:customStyle="1">
    <w:name w:val="Heading 4 Char"/>
    <w:uiPriority w:val="9"/>
    <w:qFormat/>
    <w:rPr>
      <w:rFonts w:ascii="Arial" w:hAnsi="Arial" w:eastAsia="Arial" w:cs="Arial"/>
      <w:b/>
      <w:bCs/>
      <w:sz w:val="26"/>
      <w:szCs w:val="26"/>
    </w:rPr>
  </w:style>
  <w:style w:type="character" w:styleId="766" w:customStyle="1">
    <w:name w:val="Heading 5 Char"/>
    <w:uiPriority w:val="9"/>
    <w:qFormat/>
    <w:rPr>
      <w:rFonts w:ascii="Arial" w:hAnsi="Arial" w:eastAsia="Arial" w:cs="Arial"/>
      <w:b/>
      <w:bCs/>
      <w:sz w:val="24"/>
      <w:szCs w:val="24"/>
    </w:rPr>
  </w:style>
  <w:style w:type="character" w:styleId="767" w:customStyle="1">
    <w:name w:val="Heading 6 Char"/>
    <w:uiPriority w:val="9"/>
    <w:qFormat/>
    <w:rPr>
      <w:rFonts w:ascii="Arial" w:hAnsi="Arial" w:eastAsia="Arial" w:cs="Arial"/>
      <w:b/>
      <w:bCs/>
      <w:sz w:val="22"/>
      <w:szCs w:val="22"/>
    </w:rPr>
  </w:style>
  <w:style w:type="character" w:styleId="768" w:customStyle="1">
    <w:name w:val="Heading 7 Char"/>
    <w:uiPriority w:val="9"/>
    <w:qFormat/>
    <w:rPr>
      <w:rFonts w:ascii="Arial" w:hAnsi="Arial" w:eastAsia="Arial" w:cs="Arial"/>
      <w:b/>
      <w:bCs/>
      <w:i/>
      <w:iCs/>
      <w:sz w:val="22"/>
      <w:szCs w:val="22"/>
    </w:rPr>
  </w:style>
  <w:style w:type="character" w:styleId="769" w:customStyle="1">
    <w:name w:val="Heading 8 Char"/>
    <w:uiPriority w:val="9"/>
    <w:qFormat/>
    <w:rPr>
      <w:rFonts w:ascii="Arial" w:hAnsi="Arial" w:eastAsia="Arial" w:cs="Arial"/>
      <w:i/>
      <w:iCs/>
      <w:sz w:val="22"/>
      <w:szCs w:val="22"/>
    </w:rPr>
  </w:style>
  <w:style w:type="character" w:styleId="770" w:customStyle="1">
    <w:name w:val="Heading 9 Char"/>
    <w:uiPriority w:val="9"/>
    <w:qFormat/>
    <w:rPr>
      <w:rFonts w:ascii="Arial" w:hAnsi="Arial" w:eastAsia="Arial" w:cs="Arial"/>
      <w:i/>
      <w:iCs/>
      <w:sz w:val="21"/>
      <w:szCs w:val="21"/>
    </w:rPr>
  </w:style>
  <w:style w:type="paragraph" w:styleId="771">
    <w:name w:val="List Paragraph"/>
    <w:basedOn w:val="706"/>
    <w:uiPriority w:val="34"/>
    <w:qFormat/>
    <w:pPr>
      <w:contextualSpacing/>
      <w:ind w:left="720"/>
      <w:jc w:val="left"/>
      <w:widowControl/>
    </w:pPr>
    <w:rPr>
      <w:rFonts w:ascii="Calibri" w:hAnsi="Calibri"/>
      <w:sz w:val="24"/>
      <w:szCs w:val="24"/>
      <w:lang w:eastAsia="en-US" w:bidi="en-US"/>
    </w:rPr>
  </w:style>
  <w:style w:type="paragraph" w:styleId="772">
    <w:name w:val="No Spacing"/>
    <w:uiPriority w:val="1"/>
    <w:qFormat/>
    <w:pPr>
      <w:jc w:val="both"/>
      <w:widowControl w:val="off"/>
    </w:pPr>
    <w:rPr>
      <w:rFonts w:ascii="Times New Roman" w:hAnsi="Times New Roman" w:eastAsia="宋体" w:cs="Times New Roman"/>
      <w:sz w:val="21"/>
      <w:szCs w:val="21"/>
      <w:lang w:val="en-US" w:eastAsia="zh-CN" w:bidi="ar-SA"/>
    </w:rPr>
  </w:style>
  <w:style w:type="character" w:styleId="773" w:customStyle="1">
    <w:name w:val="标题 Char"/>
    <w:link w:val="754"/>
    <w:uiPriority w:val="10"/>
    <w:qFormat/>
    <w:rPr>
      <w:sz w:val="48"/>
      <w:szCs w:val="48"/>
    </w:rPr>
  </w:style>
  <w:style w:type="character" w:styleId="774" w:customStyle="1">
    <w:name w:val="副标题 Char"/>
    <w:link w:val="743"/>
    <w:uiPriority w:val="11"/>
    <w:qFormat/>
    <w:rPr>
      <w:sz w:val="24"/>
      <w:szCs w:val="24"/>
    </w:rPr>
  </w:style>
  <w:style w:type="paragraph" w:styleId="775">
    <w:name w:val="Quote"/>
    <w:basedOn w:val="706"/>
    <w:next w:val="706"/>
    <w:link w:val="776"/>
    <w:uiPriority w:val="29"/>
    <w:qFormat/>
    <w:pPr>
      <w:ind w:left="720" w:right="720"/>
    </w:pPr>
    <w:rPr>
      <w:i/>
    </w:rPr>
  </w:style>
  <w:style w:type="character" w:styleId="776" w:customStyle="1">
    <w:name w:val="引用 Char"/>
    <w:link w:val="775"/>
    <w:uiPriority w:val="29"/>
    <w:qFormat/>
    <w:rPr>
      <w:i/>
    </w:rPr>
  </w:style>
  <w:style w:type="paragraph" w:styleId="777">
    <w:name w:val="Intense Quote"/>
    <w:basedOn w:val="706"/>
    <w:next w:val="706"/>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Char"/>
    <w:link w:val="777"/>
    <w:uiPriority w:val="30"/>
    <w:qFormat/>
    <w:rPr>
      <w:i/>
    </w:rPr>
  </w:style>
  <w:style w:type="character" w:styleId="779" w:customStyle="1">
    <w:name w:val="Header Char"/>
    <w:uiPriority w:val="99"/>
    <w:qFormat/>
  </w:style>
  <w:style w:type="character" w:styleId="780" w:customStyle="1">
    <w:name w:val="Footer Char"/>
    <w:uiPriority w:val="99"/>
    <w:qFormat/>
  </w:style>
  <w:style w:type="character" w:styleId="781" w:customStyle="1">
    <w:name w:val="Caption Char"/>
    <w:uiPriority w:val="99"/>
    <w:qFormat/>
  </w:style>
  <w:style w:type="table" w:styleId="78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8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4"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5"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6"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7"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8"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9"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脚注文本 Char"/>
    <w:link w:val="745"/>
    <w:uiPriority w:val="99"/>
    <w:qFormat/>
    <w:rPr>
      <w:sz w:val="18"/>
    </w:rPr>
  </w:style>
  <w:style w:type="character" w:styleId="908" w:customStyle="1">
    <w:name w:val="尾注文本 Char"/>
    <w:link w:val="736"/>
    <w:uiPriority w:val="99"/>
    <w:qFormat/>
    <w:rPr>
      <w:sz w:val="20"/>
    </w:rPr>
  </w:style>
  <w:style w:type="paragraph" w:styleId="909" w:customStyle="1">
    <w:name w:val="TOC 标题1"/>
    <w:uiPriority w:val="39"/>
    <w:unhideWhenUsed/>
    <w:qFormat/>
    <w:rPr>
      <w:rFonts w:ascii="Times New Roman" w:hAnsi="Times New Roman" w:eastAsia="宋体" w:cs="Times New Roman"/>
      <w:lang w:val="en-US" w:eastAsia="zh-CN" w:bidi="ar-SA"/>
    </w:rPr>
  </w:style>
  <w:style w:type="character" w:styleId="910" w:customStyle="1">
    <w:name w:val="标题 3 Char"/>
    <w:link w:val="709"/>
    <w:uiPriority w:val="0"/>
    <w:qFormat/>
    <w:rPr>
      <w:rFonts w:ascii="Times New Roman" w:hAnsi="Times New Roman" w:eastAsia="宋体" w:cs="Times New Roman"/>
      <w:b/>
      <w:bCs/>
      <w:sz w:val="32"/>
      <w:szCs w:val="32"/>
    </w:rPr>
  </w:style>
  <w:style w:type="character" w:styleId="911" w:customStyle="1">
    <w:name w:val="标题 2 Char"/>
    <w:link w:val="708"/>
    <w:uiPriority w:val="0"/>
    <w:qFormat/>
    <w:rPr>
      <w:rFonts w:ascii="Arial" w:hAnsi="Arial" w:eastAsia="幼圆" w:cs="Arial"/>
      <w:b/>
      <w:bCs/>
      <w:sz w:val="44"/>
      <w:szCs w:val="44"/>
    </w:rPr>
  </w:style>
  <w:style w:type="character" w:styleId="912" w:customStyle="1">
    <w:name w:val="纯文本 Char"/>
    <w:link w:val="732"/>
    <w:uiPriority w:val="0"/>
    <w:qFormat/>
    <w:rPr>
      <w:rFonts w:ascii="宋体" w:hAnsi="Courier New" w:eastAsia="宋体" w:cs="Courier New"/>
      <w:szCs w:val="21"/>
    </w:rPr>
  </w:style>
  <w:style w:type="character" w:styleId="913" w:customStyle="1">
    <w:name w:val="文档结构图 Char"/>
    <w:link w:val="725"/>
    <w:uiPriority w:val="0"/>
    <w:semiHidden/>
    <w:qFormat/>
    <w:rPr>
      <w:rFonts w:ascii="Times New Roman" w:hAnsi="Times New Roman" w:eastAsia="宋体" w:cs="Times New Roman"/>
      <w:szCs w:val="21"/>
      <w:shd w:val="clear" w:color="auto" w:fill="000080"/>
    </w:rPr>
  </w:style>
  <w:style w:type="character" w:styleId="914" w:customStyle="1">
    <w:name w:val="页脚 Char"/>
    <w:link w:val="738"/>
    <w:uiPriority w:val="0"/>
    <w:qFormat/>
    <w:rPr>
      <w:rFonts w:ascii="Times New Roman" w:hAnsi="Times New Roman" w:eastAsia="宋体" w:cs="Times New Roman"/>
      <w:sz w:val="18"/>
      <w:szCs w:val="18"/>
    </w:rPr>
  </w:style>
  <w:style w:type="character" w:styleId="915" w:customStyle="1">
    <w:name w:val="列出段落 Char"/>
    <w:link w:val="916"/>
    <w:uiPriority w:val="0"/>
    <w:qFormat/>
    <w:rPr>
      <w:rFonts w:ascii="Calibri" w:hAnsi="Calibri"/>
      <w:sz w:val="24"/>
      <w:szCs w:val="24"/>
      <w:lang w:eastAsia="en-US" w:bidi="en-US"/>
    </w:rPr>
  </w:style>
  <w:style w:type="paragraph" w:styleId="916" w:customStyle="1">
    <w:name w:val="列出段落1"/>
    <w:basedOn w:val="706"/>
    <w:link w:val="915"/>
    <w:uiPriority w:val="0"/>
    <w:qFormat/>
    <w:pPr>
      <w:contextualSpacing/>
      <w:ind w:left="720"/>
      <w:jc w:val="left"/>
      <w:widowControl/>
    </w:pPr>
    <w:rPr>
      <w:rFonts w:ascii="Calibri" w:hAnsi="Calibri"/>
      <w:sz w:val="24"/>
      <w:szCs w:val="24"/>
      <w:lang w:eastAsia="en-US" w:bidi="en-US"/>
    </w:rPr>
  </w:style>
  <w:style w:type="character" w:styleId="917" w:customStyle="1">
    <w:name w:val="标题 6 Char"/>
    <w:link w:val="712"/>
    <w:uiPriority w:val="0"/>
    <w:qFormat/>
    <w:rPr>
      <w:rFonts w:ascii="Arial" w:hAnsi="Arial" w:eastAsia="黑体" w:cs="Times New Roman"/>
      <w:b/>
      <w:bCs/>
      <w:sz w:val="24"/>
      <w:szCs w:val="24"/>
    </w:rPr>
  </w:style>
  <w:style w:type="character" w:styleId="918" w:customStyle="1">
    <w:name w:val="批注主题 Char"/>
    <w:link w:val="720"/>
    <w:uiPriority w:val="0"/>
    <w:semiHidden/>
    <w:qFormat/>
    <w:rPr>
      <w:rFonts w:ascii="Times New Roman" w:hAnsi="Times New Roman" w:eastAsia="宋体" w:cs="Times New Roman"/>
      <w:b/>
      <w:bCs/>
      <w:szCs w:val="21"/>
    </w:rPr>
  </w:style>
  <w:style w:type="character" w:styleId="919" w:customStyle="1">
    <w:name w:val="正文文本 2 Char"/>
    <w:link w:val="751"/>
    <w:uiPriority w:val="0"/>
    <w:qFormat/>
    <w:rPr>
      <w:rFonts w:ascii="楷体_GB2312" w:hAnsi="Times New Roman" w:eastAsia="楷体_GB2312" w:cs="Times New Roman"/>
      <w:sz w:val="28"/>
      <w:szCs w:val="28"/>
    </w:rPr>
  </w:style>
  <w:style w:type="character" w:styleId="920" w:customStyle="1">
    <w:name w:val="正文首行缩进 Char"/>
    <w:link w:val="723"/>
    <w:uiPriority w:val="0"/>
    <w:qFormat/>
    <w:rPr>
      <w:rFonts w:ascii="仿宋_GB2312" w:hAnsi="Times New Roman" w:eastAsia="仿宋_GB2312" w:cs="Times New Roman"/>
      <w:sz w:val="30"/>
      <w:szCs w:val="30"/>
    </w:rPr>
  </w:style>
  <w:style w:type="character" w:styleId="921" w:customStyle="1">
    <w:name w:val="正文首行缩进 2 Char"/>
    <w:link w:val="739"/>
    <w:uiPriority w:val="0"/>
    <w:qFormat/>
    <w:rPr>
      <w:rFonts w:ascii="宋体" w:hAnsi="宋体" w:eastAsia="宋体" w:cs="Times New Roman"/>
      <w:sz w:val="32"/>
      <w:szCs w:val="20"/>
    </w:rPr>
  </w:style>
  <w:style w:type="character" w:styleId="922" w:customStyle="1">
    <w:name w:val="标题 1 Char"/>
    <w:link w:val="707"/>
    <w:uiPriority w:val="0"/>
    <w:qFormat/>
    <w:rPr>
      <w:rFonts w:ascii="楷体_GB2312" w:hAnsi="楷体_GB2312" w:eastAsia="黑体" w:cs="Times New Roman"/>
      <w:sz w:val="44"/>
      <w:szCs w:val="28"/>
    </w:rPr>
  </w:style>
  <w:style w:type="character" w:styleId="923" w:customStyle="1">
    <w:name w:val="已访问的超链接1"/>
    <w:uiPriority w:val="0"/>
    <w:qFormat/>
    <w:rPr>
      <w:color w:val="800080"/>
      <w:u w:val="single"/>
    </w:rPr>
  </w:style>
  <w:style w:type="character" w:styleId="924" w:customStyle="1">
    <w:name w:val="正文文本 3 Char"/>
    <w:link w:val="726"/>
    <w:uiPriority w:val="0"/>
    <w:qFormat/>
    <w:rPr>
      <w:rFonts w:ascii="仿宋_GB2312" w:hAnsi="Arial" w:eastAsia="仿宋_GB2312" w:cs="Times New Roman"/>
      <w:sz w:val="32"/>
      <w:szCs w:val="32"/>
    </w:rPr>
  </w:style>
  <w:style w:type="character" w:styleId="925" w:customStyle="1">
    <w:name w:val="二级目录 Char"/>
    <w:link w:val="926"/>
    <w:uiPriority w:val="0"/>
    <w:qFormat/>
    <w:rPr>
      <w:b/>
      <w:sz w:val="30"/>
      <w:szCs w:val="28"/>
    </w:rPr>
  </w:style>
  <w:style w:type="paragraph" w:styleId="926" w:customStyle="1">
    <w:name w:val="二级目录"/>
    <w:next w:val="706"/>
    <w:link w:val="925"/>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27" w:customStyle="1">
    <w:name w:val="正文缩进 Char"/>
    <w:link w:val="718"/>
    <w:uiPriority w:val="0"/>
    <w:qFormat/>
    <w:rPr>
      <w:rFonts w:ascii="Times New Roman" w:hAnsi="Times New Roman" w:eastAsia="宋体" w:cs="Times New Roman"/>
      <w:szCs w:val="21"/>
    </w:rPr>
  </w:style>
  <w:style w:type="character" w:styleId="928" w:customStyle="1">
    <w:name w:val="标题 7 Char"/>
    <w:link w:val="713"/>
    <w:uiPriority w:val="0"/>
    <w:qFormat/>
    <w:rPr>
      <w:rFonts w:ascii="Times New Roman" w:hAnsi="Times New Roman" w:eastAsia="宋体" w:cs="Times New Roman"/>
      <w:b/>
      <w:bCs/>
      <w:sz w:val="24"/>
      <w:szCs w:val="24"/>
    </w:rPr>
  </w:style>
  <w:style w:type="character" w:styleId="929" w:customStyle="1">
    <w:name w:val="正文文本缩进 Char"/>
    <w:link w:val="728"/>
    <w:uiPriority w:val="0"/>
    <w:qFormat/>
    <w:rPr>
      <w:rFonts w:ascii="楷体_GB2312" w:hAnsi="Times New Roman" w:eastAsia="楷体_GB2312" w:cs="Times New Roman"/>
      <w:sz w:val="32"/>
      <w:szCs w:val="32"/>
    </w:rPr>
  </w:style>
  <w:style w:type="character" w:styleId="930" w:customStyle="1">
    <w:name w:val="标题 9 Char"/>
    <w:link w:val="715"/>
    <w:uiPriority w:val="0"/>
    <w:qFormat/>
    <w:rPr>
      <w:rFonts w:ascii="Arial" w:hAnsi="Arial" w:eastAsia="黑体" w:cs="Times New Roman"/>
      <w:szCs w:val="21"/>
    </w:rPr>
  </w:style>
  <w:style w:type="character" w:styleId="931" w:customStyle="1">
    <w:name w:val="批注文字 Char"/>
    <w:link w:val="721"/>
    <w:uiPriority w:val="0"/>
    <w:semiHidden/>
    <w:qFormat/>
    <w:rPr>
      <w:rFonts w:ascii="Times New Roman" w:hAnsi="Times New Roman" w:eastAsia="宋体" w:cs="Times New Roman"/>
      <w:szCs w:val="21"/>
    </w:rPr>
  </w:style>
  <w:style w:type="character" w:styleId="932" w:customStyle="1">
    <w:name w:val="标题 5 Char"/>
    <w:link w:val="711"/>
    <w:uiPriority w:val="0"/>
    <w:qFormat/>
    <w:rPr>
      <w:rFonts w:ascii="宋体" w:hAnsi="Times New Roman" w:eastAsia="宋体" w:cs="Times New Roman"/>
      <w:color w:val="000000"/>
      <w:sz w:val="28"/>
      <w:szCs w:val="28"/>
    </w:rPr>
  </w:style>
  <w:style w:type="character" w:styleId="933" w:customStyle="1">
    <w:name w:val="正文文本缩进 2 Char"/>
    <w:link w:val="735"/>
    <w:uiPriority w:val="0"/>
    <w:qFormat/>
    <w:rPr>
      <w:rFonts w:ascii="Arial" w:hAnsi="Arial" w:eastAsia="仿宋_GB2312" w:cs="Arial"/>
      <w:sz w:val="32"/>
      <w:szCs w:val="32"/>
    </w:rPr>
  </w:style>
  <w:style w:type="character" w:styleId="934" w:customStyle="1">
    <w:name w:val="日期 Char"/>
    <w:link w:val="734"/>
    <w:uiPriority w:val="0"/>
    <w:qFormat/>
    <w:rPr>
      <w:rFonts w:ascii="Times New Roman" w:hAnsi="Times New Roman" w:eastAsia="宋体" w:cs="Times New Roman"/>
      <w:sz w:val="24"/>
      <w:szCs w:val="24"/>
    </w:rPr>
  </w:style>
  <w:style w:type="character" w:styleId="935" w:customStyle="1">
    <w:name w:val="批注框文本 Char"/>
    <w:link w:val="737"/>
    <w:uiPriority w:val="0"/>
    <w:semiHidden/>
    <w:qFormat/>
    <w:rPr>
      <w:rFonts w:ascii="Times New Roman" w:hAnsi="Times New Roman" w:eastAsia="宋体" w:cs="Times New Roman"/>
      <w:sz w:val="18"/>
      <w:szCs w:val="18"/>
    </w:rPr>
  </w:style>
  <w:style w:type="character" w:styleId="936" w:customStyle="1">
    <w:name w:val="标题 4 Char"/>
    <w:link w:val="710"/>
    <w:uiPriority w:val="0"/>
    <w:qFormat/>
    <w:rPr>
      <w:rFonts w:ascii="Arial" w:hAnsi="Arial" w:eastAsia="黑体" w:cs="Arial"/>
      <w:b/>
      <w:bCs/>
      <w:sz w:val="28"/>
      <w:szCs w:val="28"/>
    </w:rPr>
  </w:style>
  <w:style w:type="character" w:styleId="937" w:customStyle="1">
    <w:name w:val="font5 Char"/>
    <w:uiPriority w:val="0"/>
    <w:qFormat/>
    <w:rPr>
      <w:rFonts w:ascii="宋体" w:hAnsi="宋体" w:eastAsia="宋体"/>
      <w:sz w:val="28"/>
      <w:szCs w:val="28"/>
      <w:lang w:val="en-US" w:eastAsia="zh-CN" w:bidi="ar-SA"/>
    </w:rPr>
  </w:style>
  <w:style w:type="character" w:styleId="938" w:customStyle="1">
    <w:name w:val="页眉 Char"/>
    <w:link w:val="740"/>
    <w:uiPriority w:val="0"/>
    <w:qFormat/>
    <w:rPr>
      <w:rFonts w:ascii="Times New Roman" w:hAnsi="Times New Roman" w:eastAsia="宋体" w:cs="Times New Roman"/>
      <w:sz w:val="18"/>
      <w:szCs w:val="18"/>
    </w:rPr>
  </w:style>
  <w:style w:type="character" w:styleId="939" w:customStyle="1">
    <w:name w:val="正文文本 Char"/>
    <w:link w:val="727"/>
    <w:uiPriority w:val="0"/>
    <w:qFormat/>
    <w:rPr>
      <w:rFonts w:ascii="楷体_GB2312" w:hAnsi="Arial" w:eastAsia="楷体_GB2312" w:cs="Times New Roman"/>
      <w:sz w:val="28"/>
      <w:szCs w:val="28"/>
    </w:rPr>
  </w:style>
  <w:style w:type="character" w:styleId="940" w:customStyle="1">
    <w:name w:val="正文文本缩进 3 Char"/>
    <w:link w:val="747"/>
    <w:uiPriority w:val="0"/>
    <w:qFormat/>
    <w:rPr>
      <w:rFonts w:ascii="Arial" w:hAnsi="Arial" w:eastAsia="仿宋_GB2312" w:cs="Arial"/>
      <w:color w:val="ffff00"/>
      <w:sz w:val="32"/>
      <w:szCs w:val="32"/>
    </w:rPr>
  </w:style>
  <w:style w:type="character" w:styleId="941" w:customStyle="1">
    <w:name w:val="标题 8 Char"/>
    <w:link w:val="714"/>
    <w:uiPriority w:val="0"/>
    <w:qFormat/>
    <w:rPr>
      <w:rFonts w:ascii="Arial" w:hAnsi="Arial" w:eastAsia="黑体" w:cs="Times New Roman"/>
      <w:sz w:val="24"/>
      <w:szCs w:val="24"/>
    </w:rPr>
  </w:style>
  <w:style w:type="paragraph" w:styleId="942"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3"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4" w:customStyle="1">
    <w:name w:val="标题1"/>
    <w:basedOn w:val="706"/>
    <w:next w:val="7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5" w:customStyle="1">
    <w:name w:val="font6"/>
    <w:basedOn w:val="706"/>
    <w:uiPriority w:val="0"/>
    <w:qFormat/>
    <w:pPr>
      <w:jc w:val="left"/>
      <w:spacing w:before="100" w:beforeAutospacing="1" w:after="100" w:afterAutospacing="1"/>
      <w:widowControl/>
    </w:pPr>
    <w:rPr>
      <w:rFonts w:hint="eastAsia" w:ascii="宋体" w:hAnsi="宋体"/>
      <w:sz w:val="28"/>
      <w:szCs w:val="28"/>
      <w:u w:val="single"/>
    </w:rPr>
  </w:style>
  <w:style w:type="paragraph" w:styleId="946" w:customStyle="1">
    <w:name w:val="xl30"/>
    <w:basedOn w:val="706"/>
    <w:uiPriority w:val="0"/>
    <w:qFormat/>
    <w:pPr>
      <w:jc w:val="center"/>
      <w:spacing w:before="100" w:beforeAutospacing="1" w:after="100" w:afterAutospacing="1"/>
      <w:widowControl/>
    </w:pPr>
    <w:rPr>
      <w:rFonts w:ascii="宋体" w:hAnsi="宋体"/>
      <w:b/>
      <w:bCs/>
      <w:sz w:val="36"/>
      <w:szCs w:val="36"/>
    </w:rPr>
  </w:style>
  <w:style w:type="paragraph" w:styleId="947" w:customStyle="1">
    <w:name w:val="font5"/>
    <w:basedOn w:val="706"/>
    <w:uiPriority w:val="0"/>
    <w:qFormat/>
    <w:pPr>
      <w:jc w:val="left"/>
      <w:spacing w:before="100" w:beforeAutospacing="1" w:after="100" w:afterAutospacing="1"/>
      <w:widowControl/>
    </w:pPr>
    <w:rPr>
      <w:rFonts w:hint="eastAsia" w:ascii="宋体" w:hAnsi="宋体"/>
      <w:sz w:val="28"/>
      <w:szCs w:val="28"/>
    </w:rPr>
  </w:style>
  <w:style w:type="paragraph" w:styleId="948"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9" w:customStyle="1">
    <w:name w:val="Char Char Char Char"/>
    <w:basedOn w:val="725"/>
    <w:uiPriority w:val="0"/>
    <w:qFormat/>
    <w:pPr>
      <w:spacing w:line="360" w:lineRule="auto"/>
    </w:pPr>
    <w:rPr>
      <w:rFonts w:ascii="Tahoma" w:hAnsi="Tahoma"/>
      <w:sz w:val="24"/>
      <w:szCs w:val="24"/>
    </w:rPr>
  </w:style>
  <w:style w:type="paragraph" w:styleId="950" w:customStyle="1">
    <w:name w:val="修订1"/>
    <w:uiPriority w:val="99"/>
    <w:semiHidden/>
    <w:qFormat/>
    <w:rPr>
      <w:rFonts w:ascii="Times New Roman" w:hAnsi="Times New Roman" w:eastAsia="宋体" w:cs="Times New Roman"/>
      <w:sz w:val="21"/>
      <w:szCs w:val="21"/>
      <w:lang w:val="en-US" w:eastAsia="zh-CN" w:bidi="ar-SA"/>
    </w:rPr>
  </w:style>
  <w:style w:type="paragraph" w:styleId="951"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2" w:customStyle="1">
    <w:name w:val="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53" w:customStyle="1">
    <w:name w:val="font7"/>
    <w:basedOn w:val="706"/>
    <w:uiPriority w:val="0"/>
    <w:qFormat/>
    <w:pPr>
      <w:jc w:val="left"/>
      <w:spacing w:before="100" w:beforeAutospacing="1" w:after="100" w:afterAutospacing="1"/>
      <w:widowControl/>
    </w:pPr>
    <w:rPr>
      <w:rFonts w:hint="eastAsia" w:ascii="宋体" w:hAnsi="宋体"/>
      <w:sz w:val="18"/>
      <w:szCs w:val="18"/>
    </w:rPr>
  </w:style>
  <w:style w:type="paragraph" w:styleId="954" w:customStyle="1">
    <w:name w:val="Char Char Char Char Char Char Char Char1"/>
    <w:basedOn w:val="706"/>
    <w:uiPriority w:val="0"/>
    <w:qFormat/>
    <w:pPr>
      <w:jc w:val="left"/>
      <w:spacing w:after="160" w:line="240" w:lineRule="exact"/>
      <w:widowControl/>
    </w:pPr>
    <w:rPr>
      <w:rFonts w:ascii="Verdana" w:hAnsi="Verdana"/>
      <w:sz w:val="20"/>
      <w:szCs w:val="20"/>
      <w:lang w:eastAsia="en-US"/>
    </w:rPr>
  </w:style>
  <w:style w:type="paragraph" w:styleId="955" w:customStyle="1">
    <w:name w:val="table_lines"/>
    <w:basedOn w:val="706"/>
    <w:uiPriority w:val="0"/>
    <w:qFormat/>
    <w:pPr>
      <w:jc w:val="left"/>
      <w:widowControl/>
    </w:pPr>
    <w:rPr>
      <w:sz w:val="20"/>
      <w:szCs w:val="20"/>
      <w:lang w:val="de-DE" w:eastAsia="de-DE"/>
    </w:rPr>
  </w:style>
  <w:style w:type="paragraph" w:styleId="956" w:customStyle="1">
    <w:name w:val="Char"/>
    <w:basedOn w:val="725"/>
    <w:uiPriority w:val="0"/>
    <w:qFormat/>
    <w:rPr>
      <w:rFonts w:ascii="Tahoma" w:hAnsi="Tahoma"/>
      <w:sz w:val="24"/>
      <w:szCs w:val="24"/>
    </w:rPr>
  </w:style>
  <w:style w:type="paragraph" w:styleId="95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58" w:customStyle="1">
    <w:name w:val="Body Text(ch)"/>
    <w:basedOn w:val="706"/>
    <w:next w:val="727"/>
    <w:uiPriority w:val="0"/>
    <w:qFormat/>
    <w:pPr>
      <w:spacing w:after="120"/>
    </w:pPr>
    <w:rPr>
      <w:rFonts w:ascii="宋体" w:hAnsi="Arial"/>
      <w:bCs/>
      <w:iCs/>
      <w:szCs w:val="24"/>
    </w:rPr>
  </w:style>
  <w:style w:type="paragraph" w:styleId="959"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0" w:customStyle="1">
    <w:name w:val="普通 (Web)"/>
    <w:basedOn w:val="706"/>
    <w:uiPriority w:val="0"/>
    <w:qFormat/>
    <w:pPr>
      <w:jc w:val="left"/>
      <w:spacing w:before="100" w:beforeAutospacing="1" w:after="100" w:afterAutospacing="1"/>
      <w:widowControl/>
    </w:pPr>
    <w:rPr>
      <w:rFonts w:ascii="宋体" w:hAnsi="宋体"/>
      <w:sz w:val="24"/>
      <w:szCs w:val="24"/>
    </w:rPr>
  </w:style>
  <w:style w:type="paragraph" w:styleId="961"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62"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3"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4" w:customStyle="1">
    <w:name w:val="Char1"/>
    <w:basedOn w:val="706"/>
    <w:uiPriority w:val="0"/>
    <w:qFormat/>
    <w:pPr>
      <w:ind w:firstLine="200"/>
      <w:tabs>
        <w:tab w:val="left" w:pos="360" w:leader="none"/>
      </w:tabs>
    </w:pPr>
    <w:rPr>
      <w:sz w:val="28"/>
      <w:szCs w:val="30"/>
    </w:rPr>
  </w:style>
  <w:style w:type="paragraph" w:styleId="965" w:customStyle="1">
    <w:name w:val="4"/>
    <w:basedOn w:val="706"/>
    <w:next w:val="747"/>
    <w:uiPriority w:val="0"/>
    <w:qFormat/>
    <w:pPr>
      <w:ind w:firstLine="420"/>
      <w:spacing w:line="360" w:lineRule="auto"/>
    </w:pPr>
    <w:rPr>
      <w:color w:val="ff0000"/>
      <w:sz w:val="24"/>
      <w:szCs w:val="24"/>
    </w:rPr>
  </w:style>
  <w:style w:type="paragraph" w:styleId="966" w:customStyle="1">
    <w:name w:val="Char Char Char Char Char Char Char Char Char Char"/>
    <w:basedOn w:val="706"/>
    <w:uiPriority w:val="0"/>
    <w:qFormat/>
    <w:pPr>
      <w:spacing w:line="360" w:lineRule="auto"/>
    </w:pPr>
    <w:rPr>
      <w:sz w:val="24"/>
      <w:szCs w:val="20"/>
    </w:rPr>
  </w:style>
  <w:style w:type="paragraph" w:styleId="967" w:customStyle="1">
    <w:name w:val="样式1"/>
    <w:basedOn w:val="706"/>
    <w:uiPriority w:val="0"/>
    <w:qFormat/>
    <w:pPr>
      <w:numPr>
        <w:ilvl w:val="0"/>
        <w:numId w:val="3"/>
      </w:numPr>
    </w:pPr>
    <w:rPr>
      <w:rFonts w:ascii="宋体" w:hAnsi="宋体"/>
    </w:rPr>
  </w:style>
  <w:style w:type="paragraph" w:styleId="968" w:customStyle="1">
    <w:name w:val="标题3"/>
    <w:basedOn w:val="706"/>
    <w:next w:val="706"/>
    <w:uiPriority w:val="0"/>
    <w:qFormat/>
    <w:pPr>
      <w:ind w:firstLine="624"/>
      <w:spacing w:line="590" w:lineRule="atLeast"/>
    </w:pPr>
    <w:rPr>
      <w:rFonts w:ascii="方正黑体_GBK" w:eastAsia="方正黑体_GBK"/>
      <w:sz w:val="32"/>
      <w:szCs w:val="32"/>
    </w:rPr>
  </w:style>
  <w:style w:type="paragraph" w:styleId="969" w:customStyle="1">
    <w:name w:val="Char Char Char Char1"/>
    <w:basedOn w:val="725"/>
    <w:uiPriority w:val="0"/>
    <w:qFormat/>
    <w:pPr>
      <w:spacing w:line="360" w:lineRule="auto"/>
    </w:pPr>
    <w:rPr>
      <w:rFonts w:ascii="Tahoma" w:hAnsi="Tahoma"/>
      <w:sz w:val="24"/>
      <w:szCs w:val="24"/>
    </w:rPr>
  </w:style>
  <w:style w:type="paragraph" w:styleId="970" w:customStyle="1">
    <w:name w:val="table_1stline"/>
    <w:basedOn w:val="706"/>
    <w:uiPriority w:val="0"/>
    <w:qFormat/>
    <w:pPr>
      <w:jc w:val="left"/>
      <w:spacing w:before="120"/>
      <w:widowControl/>
    </w:pPr>
    <w:rPr>
      <w:bCs/>
      <w:sz w:val="20"/>
      <w:szCs w:val="20"/>
      <w:lang w:val="de-DE" w:eastAsia="de-DE"/>
    </w:rPr>
  </w:style>
  <w:style w:type="character" w:styleId="971" w:customStyle="1">
    <w:name w:val="标题 1 Char1"/>
    <w:uiPriority w:val="9"/>
    <w:qFormat/>
    <w:rPr>
      <w:rFonts w:ascii="Arial" w:hAnsi="Arial" w:eastAsia="Arial" w:cs="Arial"/>
      <w:sz w:val="40"/>
      <w:szCs w:val="40"/>
    </w:rPr>
  </w:style>
  <w:style w:type="character" w:styleId="972" w:customStyle="1">
    <w:name w:val="标题 2 Char1"/>
    <w:uiPriority w:val="9"/>
    <w:qFormat/>
    <w:rPr>
      <w:rFonts w:ascii="Arial" w:hAnsi="Arial" w:eastAsia="Arial" w:cs="Arial"/>
      <w:sz w:val="34"/>
    </w:rPr>
  </w:style>
  <w:style w:type="character" w:styleId="973" w:customStyle="1">
    <w:name w:val="标题 3 Char1"/>
    <w:uiPriority w:val="9"/>
    <w:qFormat/>
    <w:rPr>
      <w:rFonts w:ascii="Arial" w:hAnsi="Arial" w:eastAsia="Arial" w:cs="Arial"/>
      <w:sz w:val="30"/>
      <w:szCs w:val="30"/>
    </w:rPr>
  </w:style>
  <w:style w:type="character" w:styleId="974" w:customStyle="1">
    <w:name w:val="标题 4 Char1"/>
    <w:uiPriority w:val="9"/>
    <w:qFormat/>
    <w:rPr>
      <w:rFonts w:ascii="Arial" w:hAnsi="Arial" w:eastAsia="Arial" w:cs="Arial"/>
      <w:b/>
      <w:bCs/>
      <w:sz w:val="26"/>
      <w:szCs w:val="26"/>
    </w:rPr>
  </w:style>
  <w:style w:type="character" w:styleId="975" w:customStyle="1">
    <w:name w:val="标题 5 Char1"/>
    <w:uiPriority w:val="9"/>
    <w:qFormat/>
    <w:rPr>
      <w:rFonts w:ascii="Arial" w:hAnsi="Arial" w:eastAsia="Arial" w:cs="Arial"/>
      <w:b/>
      <w:bCs/>
      <w:sz w:val="24"/>
      <w:szCs w:val="24"/>
    </w:rPr>
  </w:style>
  <w:style w:type="character" w:styleId="976" w:customStyle="1">
    <w:name w:val="标题 6 Char1"/>
    <w:uiPriority w:val="9"/>
    <w:qFormat/>
    <w:rPr>
      <w:rFonts w:ascii="Arial" w:hAnsi="Arial" w:eastAsia="Arial" w:cs="Arial"/>
      <w:b/>
      <w:bCs/>
      <w:sz w:val="22"/>
      <w:szCs w:val="22"/>
    </w:rPr>
  </w:style>
  <w:style w:type="character" w:styleId="977" w:customStyle="1">
    <w:name w:val="标题 7 Char1"/>
    <w:uiPriority w:val="9"/>
    <w:qFormat/>
    <w:rPr>
      <w:rFonts w:ascii="Arial" w:hAnsi="Arial" w:eastAsia="Arial" w:cs="Arial"/>
      <w:b/>
      <w:bCs/>
      <w:i/>
      <w:iCs/>
      <w:sz w:val="22"/>
      <w:szCs w:val="22"/>
    </w:rPr>
  </w:style>
  <w:style w:type="character" w:styleId="978" w:customStyle="1">
    <w:name w:val="标题 8 Char1"/>
    <w:uiPriority w:val="9"/>
    <w:qFormat/>
    <w:rPr>
      <w:rFonts w:ascii="Arial" w:hAnsi="Arial" w:eastAsia="Arial" w:cs="Arial"/>
      <w:i/>
      <w:iCs/>
      <w:sz w:val="22"/>
      <w:szCs w:val="22"/>
    </w:rPr>
  </w:style>
  <w:style w:type="character" w:styleId="979" w:customStyle="1">
    <w:name w:val="标题 9 Char1"/>
    <w:uiPriority w:val="9"/>
    <w:qFormat/>
    <w:rPr>
      <w:rFonts w:ascii="Arial" w:hAnsi="Arial" w:eastAsia="Arial" w:cs="Arial"/>
      <w:i/>
      <w:iCs/>
      <w:sz w:val="21"/>
      <w:szCs w:val="21"/>
    </w:rPr>
  </w:style>
  <w:style w:type="character" w:styleId="980" w:customStyle="1">
    <w:name w:val="页眉 Char1"/>
    <w:uiPriority w:val="99"/>
    <w:qFormat/>
  </w:style>
  <w:style w:type="character" w:styleId="981" w:customStyle="1">
    <w:name w:val="页脚 Char1"/>
    <w:uiPriority w:val="99"/>
    <w:qFormat/>
  </w:style>
  <w:style w:type="paragraph" w:styleId="982" w:customStyle="1">
    <w:name w:val="标题 11"/>
    <w:basedOn w:val="706"/>
    <w:next w:val="706"/>
    <w:uiPriority w:val="0"/>
    <w:qFormat/>
    <w:pPr>
      <w:jc w:val="center"/>
      <w:keepNext/>
      <w:outlineLvl w:val="0"/>
    </w:pPr>
    <w:rPr>
      <w:rFonts w:ascii="楷体_GB2312" w:hAnsi="楷体_GB2312" w:eastAsia="黑体"/>
      <w:sz w:val="44"/>
      <w:szCs w:val="28"/>
    </w:rPr>
  </w:style>
  <w:style w:type="paragraph" w:styleId="983" w:customStyle="1">
    <w:name w:val="标题 21"/>
    <w:basedOn w:val="706"/>
    <w:next w:val="98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4" w:customStyle="1">
    <w:name w:val="正文缩进1"/>
    <w:basedOn w:val="706"/>
    <w:uiPriority w:val="0"/>
    <w:qFormat/>
    <w:pPr>
      <w:ind w:firstLine="420"/>
    </w:pPr>
  </w:style>
  <w:style w:type="paragraph" w:styleId="985" w:customStyle="1">
    <w:name w:val="标题 31"/>
    <w:basedOn w:val="706"/>
    <w:next w:val="984"/>
    <w:uiPriority w:val="0"/>
    <w:qFormat/>
    <w:pPr>
      <w:keepLines/>
      <w:keepNext/>
      <w:spacing w:before="260" w:after="260" w:line="416" w:lineRule="auto"/>
      <w:outlineLvl w:val="2"/>
    </w:pPr>
    <w:rPr>
      <w:b/>
      <w:bCs/>
      <w:sz w:val="32"/>
      <w:szCs w:val="32"/>
    </w:rPr>
  </w:style>
  <w:style w:type="paragraph" w:styleId="986" w:customStyle="1">
    <w:name w:val="标题 41"/>
    <w:basedOn w:val="706"/>
    <w:next w:val="984"/>
    <w:uiPriority w:val="0"/>
    <w:qFormat/>
    <w:pPr>
      <w:keepLines/>
      <w:keepNext/>
      <w:spacing w:before="280" w:after="290" w:line="376" w:lineRule="auto"/>
      <w:outlineLvl w:val="3"/>
    </w:pPr>
    <w:rPr>
      <w:rFonts w:ascii="Arial" w:hAnsi="Arial" w:eastAsia="黑体" w:cs="Arial"/>
      <w:b/>
      <w:bCs/>
      <w:sz w:val="28"/>
      <w:szCs w:val="28"/>
    </w:rPr>
  </w:style>
  <w:style w:type="paragraph" w:styleId="987" w:customStyle="1">
    <w:name w:val="标题 51"/>
    <w:basedOn w:val="706"/>
    <w:next w:val="984"/>
    <w:uiPriority w:val="0"/>
    <w:qFormat/>
    <w:pPr>
      <w:keepNext/>
      <w:outlineLvl w:val="4"/>
    </w:pPr>
    <w:rPr>
      <w:rFonts w:ascii="宋体"/>
      <w:color w:val="000000"/>
      <w:sz w:val="28"/>
      <w:szCs w:val="28"/>
    </w:rPr>
  </w:style>
  <w:style w:type="paragraph" w:styleId="988" w:customStyle="1">
    <w:name w:val="标题 61"/>
    <w:basedOn w:val="706"/>
    <w:next w:val="706"/>
    <w:uiPriority w:val="0"/>
    <w:qFormat/>
    <w:pPr>
      <w:numPr>
        <w:ilvl w:val="5"/>
        <w:numId w:val="4"/>
      </w:numPr>
      <w:keepLines/>
      <w:keepNext/>
      <w:spacing w:before="240" w:after="64" w:line="320" w:lineRule="auto"/>
      <w:outlineLvl w:val="5"/>
    </w:pPr>
    <w:rPr>
      <w:rFonts w:ascii="Arial" w:hAnsi="Arial" w:eastAsia="黑体"/>
      <w:b/>
      <w:bCs/>
      <w:sz w:val="24"/>
      <w:szCs w:val="24"/>
    </w:rPr>
  </w:style>
  <w:style w:type="paragraph" w:styleId="989" w:customStyle="1">
    <w:name w:val="标题 71"/>
    <w:basedOn w:val="706"/>
    <w:next w:val="706"/>
    <w:uiPriority w:val="0"/>
    <w:qFormat/>
    <w:pPr>
      <w:numPr>
        <w:ilvl w:val="6"/>
        <w:numId w:val="4"/>
      </w:numPr>
      <w:keepLines/>
      <w:keepNext/>
      <w:spacing w:before="240" w:after="64" w:line="320" w:lineRule="auto"/>
      <w:outlineLvl w:val="6"/>
    </w:pPr>
    <w:rPr>
      <w:b/>
      <w:bCs/>
      <w:sz w:val="24"/>
      <w:szCs w:val="24"/>
    </w:rPr>
  </w:style>
  <w:style w:type="paragraph" w:styleId="990" w:customStyle="1">
    <w:name w:val="标题 81"/>
    <w:basedOn w:val="706"/>
    <w:next w:val="706"/>
    <w:uiPriority w:val="0"/>
    <w:qFormat/>
    <w:pPr>
      <w:numPr>
        <w:ilvl w:val="7"/>
        <w:numId w:val="4"/>
      </w:numPr>
      <w:keepLines/>
      <w:keepNext/>
      <w:spacing w:before="240" w:after="64" w:line="320" w:lineRule="auto"/>
      <w:outlineLvl w:val="7"/>
    </w:pPr>
    <w:rPr>
      <w:rFonts w:ascii="Arial" w:hAnsi="Arial" w:eastAsia="黑体"/>
      <w:sz w:val="24"/>
      <w:szCs w:val="24"/>
    </w:rPr>
  </w:style>
  <w:style w:type="paragraph" w:styleId="991" w:customStyle="1">
    <w:name w:val="标题 91"/>
    <w:basedOn w:val="706"/>
    <w:next w:val="706"/>
    <w:uiPriority w:val="0"/>
    <w:qFormat/>
    <w:pPr>
      <w:numPr>
        <w:ilvl w:val="8"/>
        <w:numId w:val="4"/>
      </w:numPr>
      <w:keepLines/>
      <w:keepNext/>
      <w:spacing w:before="240" w:after="64" w:line="320" w:lineRule="auto"/>
      <w:outlineLvl w:val="8"/>
    </w:pPr>
    <w:rPr>
      <w:rFonts w:ascii="Arial" w:hAnsi="Arial" w:eastAsia="黑体"/>
    </w:rPr>
  </w:style>
  <w:style w:type="character" w:styleId="992" w:customStyle="1">
    <w:name w:val="默认段落字体1"/>
    <w:uiPriority w:val="1"/>
    <w:unhideWhenUsed/>
    <w:qFormat/>
  </w:style>
  <w:style w:type="table" w:styleId="993" w:customStyle="1">
    <w:name w:val="普通表格1"/>
    <w:uiPriority w:val="99"/>
    <w:unhideWhenUsed/>
    <w:qFormat/>
    <w:tblPr>
      <w:tblLayout w:type="fixed"/>
      <w:tblCellMar>
        <w:left w:w="0" w:type="dxa"/>
        <w:top w:w="0" w:type="dxa"/>
        <w:right w:w="0" w:type="dxa"/>
        <w:bottom w:w="0" w:type="dxa"/>
      </w:tblCellMar>
    </w:tblPr>
  </w:style>
  <w:style w:type="character" w:styleId="994" w:customStyle="1">
    <w:name w:val="批注引用1"/>
    <w:uiPriority w:val="0"/>
    <w:semiHidden/>
    <w:qFormat/>
    <w:rPr>
      <w:sz w:val="21"/>
      <w:szCs w:val="21"/>
    </w:rPr>
  </w:style>
  <w:style w:type="paragraph" w:styleId="995" w:customStyle="1">
    <w:name w:val="纯文本1"/>
    <w:basedOn w:val="706"/>
    <w:uiPriority w:val="0"/>
    <w:qFormat/>
    <w:rPr>
      <w:rFonts w:ascii="宋体" w:hAnsi="Courier New" w:cs="Courier New"/>
    </w:rPr>
  </w:style>
  <w:style w:type="paragraph" w:styleId="996" w:customStyle="1">
    <w:name w:val="文档结构图1"/>
    <w:basedOn w:val="706"/>
    <w:uiPriority w:val="0"/>
    <w:semiHidden/>
    <w:qFormat/>
    <w:pPr>
      <w:shd w:val="clear" w:color="auto" w:fill="000080"/>
    </w:pPr>
  </w:style>
  <w:style w:type="character" w:styleId="997" w:customStyle="1">
    <w:name w:val="要点1"/>
    <w:uiPriority w:val="0"/>
    <w:qFormat/>
    <w:rPr>
      <w:b/>
      <w:bCs/>
    </w:rPr>
  </w:style>
  <w:style w:type="paragraph" w:styleId="998" w:customStyle="1">
    <w:name w:val="页脚1"/>
    <w:basedOn w:val="706"/>
    <w:uiPriority w:val="0"/>
    <w:qFormat/>
    <w:pPr>
      <w:jc w:val="left"/>
      <w:tabs>
        <w:tab w:val="center" w:pos="4153" w:leader="none"/>
        <w:tab w:val="right" w:pos="8306" w:leader="none"/>
      </w:tabs>
    </w:pPr>
    <w:rPr>
      <w:sz w:val="18"/>
      <w:szCs w:val="18"/>
    </w:rPr>
  </w:style>
  <w:style w:type="paragraph" w:styleId="999" w:customStyle="1">
    <w:name w:val="批注主题1"/>
    <w:basedOn w:val="1000"/>
    <w:next w:val="1000"/>
    <w:uiPriority w:val="0"/>
    <w:semiHidden/>
    <w:qFormat/>
    <w:rPr>
      <w:b/>
      <w:bCs/>
    </w:rPr>
  </w:style>
  <w:style w:type="paragraph" w:styleId="1000" w:customStyle="1">
    <w:name w:val="批注文字1"/>
    <w:basedOn w:val="706"/>
    <w:uiPriority w:val="0"/>
    <w:semiHidden/>
    <w:qFormat/>
    <w:pPr>
      <w:jc w:val="left"/>
    </w:pPr>
  </w:style>
  <w:style w:type="paragraph" w:styleId="1001" w:customStyle="1">
    <w:name w:val="正文文本 21"/>
    <w:basedOn w:val="706"/>
    <w:uiPriority w:val="0"/>
    <w:qFormat/>
    <w:pPr>
      <w:jc w:val="center"/>
      <w:widowControl/>
    </w:pPr>
    <w:rPr>
      <w:rFonts w:ascii="楷体_GB2312" w:eastAsia="楷体_GB2312"/>
      <w:sz w:val="28"/>
      <w:szCs w:val="28"/>
    </w:rPr>
  </w:style>
  <w:style w:type="paragraph" w:styleId="1002" w:customStyle="1">
    <w:name w:val="正文首行缩进1"/>
    <w:basedOn w:val="706"/>
    <w:uiPriority w:val="0"/>
    <w:qFormat/>
    <w:pPr>
      <w:ind w:firstLine="200"/>
      <w:spacing w:line="360" w:lineRule="auto"/>
    </w:pPr>
    <w:rPr>
      <w:rFonts w:ascii="仿宋_GB2312" w:eastAsia="仿宋_GB2312"/>
      <w:sz w:val="30"/>
      <w:szCs w:val="30"/>
    </w:rPr>
  </w:style>
  <w:style w:type="paragraph" w:styleId="1003" w:customStyle="1">
    <w:name w:val="正文首行缩进 21"/>
    <w:basedOn w:val="1004"/>
    <w:uiPriority w:val="0"/>
    <w:qFormat/>
    <w:pPr>
      <w:ind w:firstLine="420"/>
      <w:spacing w:line="360" w:lineRule="auto"/>
    </w:pPr>
    <w:rPr>
      <w:rFonts w:ascii="宋体" w:hAnsi="宋体" w:eastAsia="宋体"/>
      <w:sz w:val="21"/>
      <w:szCs w:val="20"/>
    </w:rPr>
  </w:style>
  <w:style w:type="paragraph" w:styleId="1004" w:customStyle="1">
    <w:name w:val="正文文本缩进1"/>
    <w:basedOn w:val="706"/>
    <w:uiPriority w:val="0"/>
    <w:qFormat/>
    <w:pPr>
      <w:ind w:firstLine="645"/>
    </w:pPr>
    <w:rPr>
      <w:rFonts w:ascii="楷体_GB2312" w:eastAsia="楷体_GB2312"/>
      <w:sz w:val="32"/>
      <w:szCs w:val="32"/>
    </w:rPr>
  </w:style>
  <w:style w:type="paragraph" w:styleId="1005" w:customStyle="1">
    <w:name w:val="正文文本 31"/>
    <w:basedOn w:val="706"/>
    <w:uiPriority w:val="0"/>
    <w:qFormat/>
    <w:rPr>
      <w:rFonts w:ascii="仿宋_GB2312" w:hAnsi="Arial" w:eastAsia="仿宋_GB2312"/>
      <w:sz w:val="32"/>
      <w:szCs w:val="32"/>
    </w:rPr>
  </w:style>
  <w:style w:type="character" w:styleId="1006" w:customStyle="1">
    <w:name w:val="页码1"/>
    <w:uiPriority w:val="0"/>
    <w:qFormat/>
  </w:style>
  <w:style w:type="paragraph" w:styleId="1007" w:customStyle="1">
    <w:name w:val="正文文本缩进 21"/>
    <w:basedOn w:val="706"/>
    <w:uiPriority w:val="0"/>
    <w:qFormat/>
    <w:pPr>
      <w:ind w:left="630" w:firstLine="645"/>
    </w:pPr>
    <w:rPr>
      <w:rFonts w:ascii="Arial" w:hAnsi="Arial" w:eastAsia="仿宋_GB2312" w:cs="Arial"/>
      <w:sz w:val="32"/>
      <w:szCs w:val="32"/>
    </w:rPr>
  </w:style>
  <w:style w:type="paragraph" w:styleId="1008" w:customStyle="1">
    <w:name w:val="日期1"/>
    <w:basedOn w:val="706"/>
    <w:next w:val="706"/>
    <w:uiPriority w:val="0"/>
    <w:qFormat/>
    <w:rPr>
      <w:sz w:val="24"/>
      <w:szCs w:val="24"/>
    </w:rPr>
  </w:style>
  <w:style w:type="character" w:styleId="1009" w:customStyle="1">
    <w:name w:val="超链接1"/>
    <w:uiPriority w:val="0"/>
    <w:qFormat/>
    <w:rPr>
      <w:color w:val="0000ff"/>
      <w:u w:val="single"/>
    </w:rPr>
  </w:style>
  <w:style w:type="paragraph" w:styleId="1010" w:customStyle="1">
    <w:name w:val="批注框文本1"/>
    <w:basedOn w:val="706"/>
    <w:uiPriority w:val="0"/>
    <w:semiHidden/>
    <w:qFormat/>
    <w:rPr>
      <w:sz w:val="18"/>
      <w:szCs w:val="18"/>
    </w:rPr>
  </w:style>
  <w:style w:type="paragraph" w:styleId="1011" w:customStyle="1">
    <w:name w:val="页眉1"/>
    <w:basedOn w:val="706"/>
    <w:uiPriority w:val="0"/>
    <w:qFormat/>
    <w:pPr>
      <w:jc w:val="center"/>
      <w:tabs>
        <w:tab w:val="center" w:pos="4153" w:leader="none"/>
        <w:tab w:val="right" w:pos="8306" w:leader="none"/>
      </w:tabs>
      <w:pBdr>
        <w:bottom w:val="single" w:color="000000" w:sz="6" w:space="1"/>
      </w:pBdr>
    </w:pPr>
    <w:rPr>
      <w:sz w:val="18"/>
      <w:szCs w:val="18"/>
    </w:rPr>
  </w:style>
  <w:style w:type="paragraph" w:styleId="1012" w:customStyle="1">
    <w:name w:val="正文文本1"/>
    <w:basedOn w:val="706"/>
    <w:uiPriority w:val="0"/>
    <w:qFormat/>
    <w:rPr>
      <w:rFonts w:ascii="楷体_GB2312" w:hAnsi="Arial" w:eastAsia="楷体_GB2312"/>
      <w:sz w:val="28"/>
      <w:szCs w:val="28"/>
    </w:rPr>
  </w:style>
  <w:style w:type="paragraph" w:styleId="1013" w:customStyle="1">
    <w:name w:val="正文文本缩进 31"/>
    <w:basedOn w:val="706"/>
    <w:uiPriority w:val="0"/>
    <w:qFormat/>
    <w:pPr>
      <w:ind w:left="645" w:firstLine="645"/>
    </w:pPr>
    <w:rPr>
      <w:rFonts w:ascii="Arial" w:hAnsi="Arial" w:eastAsia="仿宋_GB2312" w:cs="Arial"/>
      <w:color w:val="ffff00"/>
      <w:sz w:val="32"/>
      <w:szCs w:val="32"/>
    </w:rPr>
  </w:style>
  <w:style w:type="paragraph" w:styleId="1014" w:customStyle="1">
    <w:name w:val="目录 31"/>
    <w:basedOn w:val="706"/>
    <w:next w:val="706"/>
    <w:uiPriority w:val="0"/>
    <w:semiHidden/>
    <w:qFormat/>
    <w:pPr>
      <w:ind w:left="420"/>
      <w:jc w:val="left"/>
    </w:pPr>
    <w:rPr>
      <w:i/>
      <w:iCs/>
      <w:szCs w:val="24"/>
    </w:rPr>
  </w:style>
  <w:style w:type="paragraph" w:styleId="1015" w:customStyle="1">
    <w:name w:val="列表 31"/>
    <w:basedOn w:val="706"/>
    <w:uiPriority w:val="0"/>
    <w:qFormat/>
    <w:pPr>
      <w:ind w:left="100" w:hanging="200"/>
    </w:pPr>
  </w:style>
  <w:style w:type="paragraph" w:styleId="1016" w:customStyle="1">
    <w:name w:val="列表1"/>
    <w:basedOn w:val="706"/>
    <w:uiPriority w:val="0"/>
    <w:qFormat/>
    <w:pPr>
      <w:ind w:left="200" w:hanging="200"/>
    </w:pPr>
  </w:style>
  <w:style w:type="paragraph" w:styleId="1017" w:customStyle="1">
    <w:name w:val="目录 81"/>
    <w:basedOn w:val="706"/>
    <w:next w:val="706"/>
    <w:uiPriority w:val="0"/>
    <w:semiHidden/>
    <w:qFormat/>
    <w:pPr>
      <w:ind w:left="1470"/>
      <w:jc w:val="left"/>
    </w:pPr>
  </w:style>
  <w:style w:type="paragraph" w:styleId="1018" w:customStyle="1">
    <w:name w:val="列表 21"/>
    <w:basedOn w:val="706"/>
    <w:uiPriority w:val="0"/>
    <w:qFormat/>
    <w:pPr>
      <w:ind w:left="100" w:hanging="200"/>
    </w:pPr>
  </w:style>
  <w:style w:type="paragraph" w:styleId="1019" w:customStyle="1">
    <w:name w:val="目录 51"/>
    <w:basedOn w:val="706"/>
    <w:next w:val="706"/>
    <w:uiPriority w:val="0"/>
    <w:semiHidden/>
    <w:qFormat/>
    <w:pPr>
      <w:ind w:left="840"/>
      <w:jc w:val="left"/>
    </w:pPr>
  </w:style>
  <w:style w:type="paragraph" w:styleId="1020" w:customStyle="1">
    <w:name w:val="普通(网站)1"/>
    <w:basedOn w:val="706"/>
    <w:uiPriority w:val="99"/>
    <w:qFormat/>
    <w:pPr>
      <w:jc w:val="left"/>
      <w:spacing w:before="100" w:beforeAutospacing="1" w:after="100" w:afterAutospacing="1"/>
      <w:widowControl/>
    </w:pPr>
    <w:rPr>
      <w:rFonts w:ascii="宋体" w:hAnsi="宋体" w:cs="宋体"/>
      <w:sz w:val="24"/>
      <w:szCs w:val="24"/>
    </w:rPr>
  </w:style>
  <w:style w:type="paragraph" w:styleId="1021" w:customStyle="1">
    <w:name w:val="索引 11"/>
    <w:basedOn w:val="706"/>
    <w:next w:val="706"/>
    <w:uiPriority w:val="0"/>
    <w:semiHidden/>
    <w:qFormat/>
    <w:pPr>
      <w:spacing w:line="240" w:lineRule="atLeast"/>
    </w:pPr>
    <w:rPr>
      <w:b/>
      <w:bCs/>
    </w:rPr>
  </w:style>
  <w:style w:type="paragraph" w:styleId="1022" w:customStyle="1">
    <w:name w:val="目录 61"/>
    <w:basedOn w:val="706"/>
    <w:next w:val="706"/>
    <w:uiPriority w:val="0"/>
    <w:semiHidden/>
    <w:qFormat/>
    <w:pPr>
      <w:ind w:left="1050"/>
      <w:jc w:val="left"/>
    </w:pPr>
  </w:style>
  <w:style w:type="paragraph" w:styleId="102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24" w:customStyle="1">
    <w:name w:val="图表目录1"/>
    <w:basedOn w:val="706"/>
    <w:next w:val="706"/>
    <w:uiPriority w:val="0"/>
    <w:semiHidden/>
    <w:qFormat/>
    <w:pPr>
      <w:ind w:left="840" w:hanging="420"/>
    </w:pPr>
  </w:style>
  <w:style w:type="paragraph" w:styleId="1025" w:customStyle="1">
    <w:name w:val="目录 91"/>
    <w:basedOn w:val="706"/>
    <w:next w:val="706"/>
    <w:uiPriority w:val="0"/>
    <w:semiHidden/>
    <w:qFormat/>
    <w:pPr>
      <w:ind w:left="1680"/>
      <w:jc w:val="left"/>
    </w:pPr>
  </w:style>
  <w:style w:type="paragraph" w:styleId="1026" w:customStyle="1">
    <w:name w:val="目录 11"/>
    <w:basedOn w:val="706"/>
    <w:next w:val="706"/>
    <w:uiPriority w:val="0"/>
    <w:semiHidden/>
    <w:qFormat/>
    <w:pPr>
      <w:jc w:val="left"/>
      <w:spacing w:before="120" w:after="120" w:line="400" w:lineRule="exact"/>
      <w:tabs>
        <w:tab w:val="right" w:pos="8720" w:leader="dot"/>
      </w:tabs>
    </w:pPr>
    <w:rPr>
      <w:rFonts w:ascii="宋体" w:hAnsi="宋体"/>
      <w:caps/>
      <w:sz w:val="24"/>
      <w:szCs w:val="24"/>
    </w:rPr>
  </w:style>
  <w:style w:type="paragraph" w:styleId="1027" w:customStyle="1">
    <w:name w:val="目录 21"/>
    <w:basedOn w:val="706"/>
    <w:next w:val="706"/>
    <w:uiPriority w:val="0"/>
    <w:semiHidden/>
    <w:qFormat/>
    <w:pPr>
      <w:ind w:left="210"/>
      <w:jc w:val="left"/>
    </w:pPr>
    <w:rPr>
      <w:smallCaps/>
      <w:szCs w:val="24"/>
    </w:rPr>
  </w:style>
  <w:style w:type="paragraph" w:styleId="1028" w:customStyle="1">
    <w:name w:val="列出段落2"/>
    <w:basedOn w:val="706"/>
    <w:uiPriority w:val="0"/>
    <w:qFormat/>
    <w:pPr>
      <w:contextualSpacing/>
      <w:ind w:left="720"/>
      <w:jc w:val="left"/>
      <w:widowControl/>
    </w:pPr>
    <w:rPr>
      <w:rFonts w:ascii="Calibri" w:hAnsi="Calibri"/>
      <w:sz w:val="24"/>
      <w:szCs w:val="24"/>
      <w:lang w:eastAsia="en-US" w:bidi="en-US"/>
    </w:rPr>
  </w:style>
  <w:style w:type="paragraph" w:styleId="1029" w:customStyle="1">
    <w:name w:val="目录 71"/>
    <w:basedOn w:val="706"/>
    <w:next w:val="706"/>
    <w:uiPriority w:val="0"/>
    <w:semiHidden/>
    <w:qFormat/>
    <w:pPr>
      <w:ind w:left="1260"/>
      <w:jc w:val="left"/>
    </w:pPr>
  </w:style>
  <w:style w:type="paragraph" w:styleId="1030" w:customStyle="1">
    <w:name w:val="目录 41"/>
    <w:basedOn w:val="706"/>
    <w:next w:val="706"/>
    <w:uiPriority w:val="0"/>
    <w:semiHidden/>
    <w:qFormat/>
    <w:pPr>
      <w:ind w:left="630"/>
      <w:jc w:val="left"/>
    </w:pPr>
  </w:style>
  <w:style w:type="table" w:styleId="1031" w:customStyle="1">
    <w:name w:val="网格型1"/>
    <w:basedOn w:val="993"/>
    <w:uiPriority w:val="0"/>
    <w:qFormat/>
    <w:pPr>
      <w:jc w:val="both"/>
      <w:widowControl w:val="off"/>
    </w:pPr>
    <w:tblPr>
      <w:tblLayout w:type="fixed"/>
      <w:tblCellMar>
        <w:left w:w="0" w:type="dxa"/>
        <w:top w:w="0" w:type="dxa"/>
        <w:right w:w="0" w:type="dxa"/>
        <w:bottom w:w="0" w:type="dxa"/>
      </w:tblCellMar>
    </w:tblPr>
  </w:style>
  <w:style w:type="table" w:styleId="1032" w:customStyle="1">
    <w:name w:val="网格型2"/>
    <w:basedOn w:val="71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1033" w:customStyle="1">
    <w:name w:val="网格型3"/>
    <w:basedOn w:val="71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1034" w:customStyle="1">
    <w:name w:val="网格型4"/>
    <w:basedOn w:val="71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1035" w:customStyle="1">
    <w:name w:val="网格型5"/>
    <w:basedOn w:val="71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1036" w:customStyle="1">
    <w:name w:val="表内文字"/>
    <w:basedOn w:val="706"/>
    <w:uiPriority w:val="0"/>
    <w:qFormat/>
    <w:rPr>
      <w:rFonts w:hint="eastAsia" w:cs="宋体"/>
      <w:bCs/>
      <w:color w:val="000000"/>
      <w:szCs w:val="15"/>
      <w:lang w:val="zh-TW" w:eastAsia="zh-TW"/>
    </w:rPr>
  </w:style>
  <w:style w:type="paragraph" w:styleId="1037" w:customStyle="1">
    <w:name w:val="TOC Heading"/>
    <w:basedOn w:val="707"/>
    <w:next w:val="706"/>
    <w:uiPriority w:val="39"/>
    <w:unhideWhenUsed/>
    <w:qFormat/>
    <w:pPr>
      <w:jc w:val="left"/>
      <w:keepLines/>
      <w:spacing w:before="240" w:line="259" w:lineRule="auto"/>
      <w:widowControl/>
      <w:outlineLvl w:val="9"/>
    </w:pPr>
    <w:rPr>
      <w:rFonts w:asciiTheme="majorHAnsi" w:hAnsiTheme="majorHAnsi" w:eastAsiaTheme="majorEastAsia" w:cstheme="majorBidi"/>
      <w:color w:val="376092" w:themeColor="accent1" w:themeShade="BF"/>
      <w:sz w:val="32"/>
      <w:szCs w:val="32"/>
    </w:rPr>
  </w:style>
  <w:style w:type="numbering" w:styleId="50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0EFF7B-6AB7-4B48-9776-1ACAD912F494}"/>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华玲</cp:lastModifiedBy>
  <cp:revision>106</cp:revision>
  <dcterms:created xsi:type="dcterms:W3CDTF">2023-03-16T02:16:00Z</dcterms:created>
  <dcterms:modified xsi:type="dcterms:W3CDTF">2026-05-26T06:13:08Z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KSOTemplateDocerSaveRecord">
    <vt:lpwstr>eyJoZGlkIjoiZjQyMDFmY2MyZTZmMWIwOGQzOGVhMmFlMTAzNmE1OWEiLCJ1c2VySWQiOiIyNzMwNzI3MDUifQ==</vt:lpwstr>
  </property>
  <property fmtid="{D5CDD505-2E9C-101B-9397-08002B2CF9AE}" pid="4" name="ICV">
    <vt:lpwstr>7181BC470D864A2291E8C4A366543431_13</vt:lpwstr>
  </property>
</Properties>
</file>